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8102" w14:textId="611112AC" w:rsidR="0059251C" w:rsidRDefault="0059251C">
      <w:bookmarkStart w:id="0" w:name="_GoBack"/>
      <w:bookmarkEnd w:id="0"/>
      <w:r>
        <w:t xml:space="preserve">NGC Regulation 6.090(15) requires the internal auditor to use guidelines, checklists and other “criteria established by the </w:t>
      </w:r>
      <w:r w:rsidR="009F7C9C">
        <w:t>C</w:t>
      </w:r>
      <w:r>
        <w:t>hair” in determining whether a Group I licensee is in compliance with applicable statutes, regulations, and Minimum Internal Control Standards (</w:t>
      </w:r>
      <w:r w:rsidR="009F7C9C">
        <w:t>“</w:t>
      </w:r>
      <w:r>
        <w:t>MICS</w:t>
      </w:r>
      <w:r w:rsidR="009F7C9C">
        <w:t>”</w:t>
      </w:r>
      <w:r>
        <w:t>).  The use of this checklist satisfies these requirements.</w:t>
      </w:r>
    </w:p>
    <w:p w14:paraId="3D4B0A29" w14:textId="77777777" w:rsidR="0059251C" w:rsidRPr="003F4026" w:rsidRDefault="0059251C">
      <w:pPr>
        <w:pStyle w:val="BodyText"/>
      </w:pPr>
    </w:p>
    <w:p w14:paraId="02D197F9" w14:textId="77777777" w:rsidR="0059251C" w:rsidRDefault="0059251C">
      <w:pPr>
        <w:pStyle w:val="BodyText"/>
        <w:rPr>
          <w:b w:val="0"/>
          <w:bCs w:val="0"/>
          <w:u w:val="single"/>
        </w:rPr>
      </w:pPr>
      <w:r>
        <w:rPr>
          <w:b w:val="0"/>
          <w:bCs w:val="0"/>
          <w:u w:val="single"/>
        </w:rPr>
        <w:t>Objectives:</w:t>
      </w:r>
    </w:p>
    <w:p w14:paraId="3DBFCD1A" w14:textId="77777777" w:rsidR="0059251C" w:rsidRDefault="0059251C">
      <w:pPr>
        <w:pStyle w:val="BodyText"/>
        <w:rPr>
          <w:b w:val="0"/>
          <w:bCs w:val="0"/>
        </w:rPr>
      </w:pPr>
      <w:r>
        <w:rPr>
          <w:b w:val="0"/>
          <w:bCs w:val="0"/>
        </w:rPr>
        <w:t>To determine if controls for table games are adequate to ensure table games revenues are accurately stated in financial records and comply with the MICS.</w:t>
      </w:r>
    </w:p>
    <w:p w14:paraId="022C2748" w14:textId="77777777" w:rsidR="0059251C" w:rsidRPr="003F4026" w:rsidRDefault="0059251C">
      <w:pPr>
        <w:pStyle w:val="BodyText"/>
        <w:rPr>
          <w:b w:val="0"/>
          <w:bCs w:val="0"/>
        </w:rPr>
      </w:pPr>
    </w:p>
    <w:p w14:paraId="72EBAE8C" w14:textId="77777777" w:rsidR="0059251C" w:rsidRDefault="0059251C">
      <w:pPr>
        <w:rPr>
          <w:u w:val="single"/>
        </w:rPr>
      </w:pPr>
      <w:r>
        <w:rPr>
          <w:u w:val="single"/>
        </w:rPr>
        <w:t>Checklist Completion Notes:</w:t>
      </w:r>
    </w:p>
    <w:p w14:paraId="5694364F" w14:textId="77777777" w:rsidR="0059251C" w:rsidRDefault="0059251C" w:rsidP="00636162">
      <w:pPr>
        <w:numPr>
          <w:ilvl w:val="0"/>
          <w:numId w:val="15"/>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0EF45270" w14:textId="77777777" w:rsidR="0059251C" w:rsidRPr="003F4026" w:rsidRDefault="0059251C">
      <w:pPr>
        <w:rPr>
          <w:u w:val="single"/>
        </w:rPr>
      </w:pPr>
    </w:p>
    <w:p w14:paraId="4E0B4F14" w14:textId="67062E5E" w:rsidR="0059251C" w:rsidRDefault="0059251C">
      <w:pPr>
        <w:pStyle w:val="BodyText"/>
        <w:numPr>
          <w:ilvl w:val="0"/>
          <w:numId w:val="15"/>
        </w:numPr>
        <w:rPr>
          <w:b w:val="0"/>
          <w:bCs w:val="0"/>
        </w:rPr>
      </w:pPr>
      <w:r>
        <w:rPr>
          <w:b w:val="0"/>
          <w:bCs w:val="0"/>
        </w:rPr>
        <w:t xml:space="preserve">The minimum standards quoted on this checklist are from Version </w:t>
      </w:r>
      <w:r w:rsidR="004354D4">
        <w:rPr>
          <w:b w:val="0"/>
          <w:bCs w:val="0"/>
        </w:rPr>
        <w:t>9</w:t>
      </w:r>
      <w:r w:rsidR="00C315DA">
        <w:rPr>
          <w:b w:val="0"/>
          <w:bCs w:val="0"/>
        </w:rPr>
        <w:t xml:space="preserve"> </w:t>
      </w:r>
      <w:r w:rsidR="00FE6B13">
        <w:rPr>
          <w:b w:val="0"/>
          <w:bCs w:val="0"/>
        </w:rPr>
        <w:t>of the standards.</w:t>
      </w:r>
    </w:p>
    <w:p w14:paraId="22E59B8B" w14:textId="77777777" w:rsidR="0059251C" w:rsidRPr="003F4026" w:rsidRDefault="0059251C">
      <w:pPr>
        <w:pStyle w:val="BodyText"/>
        <w:rPr>
          <w:b w:val="0"/>
          <w:bCs w:val="0"/>
        </w:rPr>
      </w:pPr>
    </w:p>
    <w:p w14:paraId="5D8CDED6" w14:textId="77777777" w:rsidR="0059251C" w:rsidRDefault="0059251C">
      <w:pPr>
        <w:pStyle w:val="List"/>
        <w:numPr>
          <w:ilvl w:val="0"/>
          <w:numId w:val="15"/>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0143582B" w14:textId="77777777" w:rsidR="00E35C52" w:rsidRPr="003F4026" w:rsidRDefault="00E35C52" w:rsidP="00E35C52">
      <w:pPr>
        <w:ind w:left="360" w:hanging="360"/>
      </w:pPr>
    </w:p>
    <w:p w14:paraId="6B678018" w14:textId="732DBCD6" w:rsidR="00E35C52" w:rsidRPr="00FF19CF" w:rsidRDefault="00E35C52" w:rsidP="00E35C52">
      <w:pPr>
        <w:ind w:left="360" w:hanging="360"/>
      </w:pPr>
      <w:r w:rsidRPr="00FF19CF">
        <w:t>4)</w:t>
      </w:r>
      <w:r w:rsidRPr="00FF19CF">
        <w:tab/>
        <w:t xml:space="preserve">Procedures for wagering accounts are addressed in both the </w:t>
      </w:r>
      <w:r w:rsidR="00636162">
        <w:t>Table Games</w:t>
      </w:r>
      <w:r w:rsidRPr="00FF19CF">
        <w:t xml:space="preserve"> and Cage and Credit Internal Audit Compliance Checklists and </w:t>
      </w:r>
      <w:r w:rsidR="00821DC9">
        <w:t>should</w:t>
      </w:r>
      <w:r w:rsidRPr="00FF19CF">
        <w:t xml:space="preserve"> be </w:t>
      </w:r>
      <w:r w:rsidR="00F52694">
        <w:t xml:space="preserve">modified and </w:t>
      </w:r>
      <w:r w:rsidRPr="00FF19CF">
        <w:t xml:space="preserve">performed, as applicable. </w:t>
      </w:r>
    </w:p>
    <w:p w14:paraId="7CA9FDA5" w14:textId="77777777" w:rsidR="00E35C52" w:rsidRPr="003F4026" w:rsidRDefault="00E35C52" w:rsidP="00E35C52"/>
    <w:p w14:paraId="2074968F" w14:textId="7F3A06BF" w:rsidR="00E35C52" w:rsidRDefault="00E35C52" w:rsidP="00E35C52">
      <w:pPr>
        <w:ind w:left="360" w:hanging="360"/>
      </w:pPr>
      <w:r w:rsidRPr="00FF19CF">
        <w:t>5)</w:t>
      </w:r>
      <w:r w:rsidRPr="00FF19CF">
        <w:tab/>
        <w:t xml:space="preserve">For licensees utilizing wagering accounts, procedures to be performed for reserve requirements are addressed in the Cage and Credit Internal Audit </w:t>
      </w:r>
      <w:r w:rsidR="00F52694">
        <w:t xml:space="preserve">Compliance </w:t>
      </w:r>
      <w:r w:rsidR="0065130F">
        <w:t xml:space="preserve">Walkthrough </w:t>
      </w:r>
      <w:r w:rsidRPr="00FF19CF">
        <w:t>Checklist.  Modify procedures as necessary.</w:t>
      </w:r>
    </w:p>
    <w:p w14:paraId="004DB28E" w14:textId="77777777" w:rsidR="0059251C" w:rsidRPr="003F4026" w:rsidRDefault="0059251C">
      <w:pPr>
        <w:pStyle w:val="BodyText"/>
        <w:rPr>
          <w:b w:val="0"/>
          <w:bCs w:val="0"/>
        </w:rPr>
      </w:pPr>
    </w:p>
    <w:p w14:paraId="3FC799E6" w14:textId="77777777" w:rsidR="0059251C" w:rsidRDefault="0059251C">
      <w:pPr>
        <w:ind w:left="1725" w:hanging="1725"/>
        <w:rPr>
          <w:u w:val="single"/>
        </w:rPr>
      </w:pPr>
      <w:r>
        <w:rPr>
          <w:u w:val="single"/>
        </w:rPr>
        <w:t>Scope:</w:t>
      </w:r>
    </w:p>
    <w:p w14:paraId="6767DBC1" w14:textId="71AE6EF6" w:rsidR="0059251C" w:rsidRDefault="0059251C">
      <w:pPr>
        <w:ind w:left="1725" w:hanging="1725"/>
        <w:rPr>
          <w:b/>
          <w:bCs/>
        </w:rPr>
      </w:pPr>
      <w:r>
        <w:t>Unless otherwise indicated, select 1 day during the fiscal six-month period.</w:t>
      </w:r>
      <w:r>
        <w:rPr>
          <w:b/>
          <w:bCs/>
        </w:rPr>
        <w:t xml:space="preserve">  Indicate Test Date</w:t>
      </w:r>
      <w:r w:rsidR="005778C6">
        <w:rPr>
          <w:b/>
          <w:bCs/>
        </w:rPr>
        <w:t>:</w:t>
      </w:r>
      <w:r w:rsidR="005778C6">
        <w:rPr>
          <w:bCs/>
          <w:u w:val="single"/>
        </w:rPr>
        <w:tab/>
      </w:r>
      <w:r w:rsidR="005778C6">
        <w:rPr>
          <w:bCs/>
          <w:u w:val="single"/>
        </w:rPr>
        <w:tab/>
      </w:r>
      <w:r w:rsidR="005778C6">
        <w:rPr>
          <w:bCs/>
          <w:u w:val="single"/>
        </w:rPr>
        <w:tab/>
      </w:r>
      <w:r w:rsidR="005778C6">
        <w:rPr>
          <w:bCs/>
          <w:u w:val="single"/>
        </w:rPr>
        <w:tab/>
      </w:r>
    </w:p>
    <w:p w14:paraId="5BC6EBAA" w14:textId="77777777" w:rsidR="003F4026" w:rsidRPr="003F4026" w:rsidRDefault="003F4026" w:rsidP="003F4026">
      <w:pPr>
        <w:pStyle w:val="BodyTextIndent"/>
        <w:ind w:left="1725" w:hanging="1725"/>
        <w:rPr>
          <w:sz w:val="20"/>
        </w:rPr>
      </w:pPr>
    </w:p>
    <w:p w14:paraId="23317A19" w14:textId="1020F796" w:rsidR="003F4026" w:rsidRDefault="003F4026" w:rsidP="003F4026">
      <w:pPr>
        <w:pStyle w:val="BodyTextIndent"/>
        <w:ind w:left="1725" w:hanging="1725"/>
        <w:rPr>
          <w:sz w:val="20"/>
          <w:szCs w:val="20"/>
          <w:u w:val="single"/>
        </w:rPr>
      </w:pPr>
      <w:r>
        <w:rPr>
          <w:sz w:val="20"/>
          <w:szCs w:val="20"/>
          <w:u w:val="single"/>
        </w:rPr>
        <w:t>MICS Variations and Regulation Waivers:</w:t>
      </w:r>
    </w:p>
    <w:p w14:paraId="3C25D6C4" w14:textId="77777777" w:rsidR="003F4026" w:rsidRDefault="003F4026" w:rsidP="003F4026">
      <w:pPr>
        <w:pStyle w:val="BodyTextIndent"/>
        <w:rPr>
          <w:sz w:val="20"/>
          <w:szCs w:val="20"/>
        </w:rPr>
      </w:pPr>
      <w:r>
        <w:rPr>
          <w:sz w:val="20"/>
          <w:szCs w:val="20"/>
        </w:rPr>
        <w:t>Review the MICS variations and regulation waivers scheduled during the table games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1666631E" w14:textId="77777777" w:rsidR="0059251C" w:rsidRDefault="0059251C">
      <w:pPr>
        <w:pStyle w:val="BodyText"/>
        <w:rPr>
          <w:b w:val="0"/>
          <w:bCs w:val="0"/>
        </w:rPr>
      </w:pPr>
      <w:r>
        <w:rPr>
          <w:b w:val="0"/>
          <w:bCs w:val="0"/>
        </w:rPr>
        <w:t xml:space="preserve">  </w:t>
      </w:r>
    </w:p>
    <w:tbl>
      <w:tblPr>
        <w:tblStyle w:val="TableGrid"/>
        <w:tblW w:w="1098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980"/>
        <w:gridCol w:w="3870"/>
        <w:gridCol w:w="2160"/>
        <w:gridCol w:w="1620"/>
      </w:tblGrid>
      <w:tr w:rsidR="003F4026" w14:paraId="45D48A4D" w14:textId="77777777" w:rsidTr="00CA24DB">
        <w:tc>
          <w:tcPr>
            <w:tcW w:w="1350" w:type="dxa"/>
          </w:tcPr>
          <w:p w14:paraId="76D0790C" w14:textId="77777777" w:rsidR="003F4026" w:rsidRPr="003F4026" w:rsidRDefault="003F4026" w:rsidP="003F4026">
            <w:pPr>
              <w:pStyle w:val="List"/>
              <w:ind w:left="0" w:firstLine="0"/>
              <w:jc w:val="center"/>
              <w:rPr>
                <w:b/>
                <w:bCs/>
              </w:rPr>
            </w:pPr>
            <w:r w:rsidRPr="003F4026">
              <w:rPr>
                <w:b/>
                <w:bCs/>
              </w:rPr>
              <w:t>Date</w:t>
            </w:r>
          </w:p>
          <w:p w14:paraId="36C0B666" w14:textId="77777777" w:rsidR="003F4026" w:rsidRPr="003F4026" w:rsidRDefault="003F4026" w:rsidP="003F4026">
            <w:pPr>
              <w:pStyle w:val="List"/>
              <w:ind w:left="0" w:firstLine="0"/>
              <w:jc w:val="center"/>
              <w:rPr>
                <w:b/>
                <w:bCs/>
              </w:rPr>
            </w:pPr>
            <w:r w:rsidRPr="003F4026">
              <w:rPr>
                <w:b/>
                <w:bCs/>
              </w:rPr>
              <w:t>Approval</w:t>
            </w:r>
          </w:p>
          <w:p w14:paraId="09C66288" w14:textId="1A223668" w:rsidR="003F4026" w:rsidRDefault="003F4026" w:rsidP="003F4026">
            <w:pPr>
              <w:pStyle w:val="BodyTextIndent"/>
              <w:jc w:val="center"/>
              <w:rPr>
                <w:sz w:val="20"/>
                <w:szCs w:val="20"/>
              </w:rPr>
            </w:pPr>
            <w:r w:rsidRPr="003F4026">
              <w:rPr>
                <w:b/>
                <w:bCs/>
                <w:sz w:val="20"/>
                <w:szCs w:val="20"/>
              </w:rPr>
              <w:t>Granted</w:t>
            </w:r>
          </w:p>
        </w:tc>
        <w:tc>
          <w:tcPr>
            <w:tcW w:w="1980" w:type="dxa"/>
          </w:tcPr>
          <w:p w14:paraId="2D8DF4F8" w14:textId="77777777" w:rsidR="003F4026" w:rsidRDefault="003F4026" w:rsidP="003F4026">
            <w:pPr>
              <w:pStyle w:val="List"/>
              <w:ind w:left="0" w:firstLine="0"/>
              <w:jc w:val="center"/>
              <w:rPr>
                <w:b/>
                <w:bCs/>
              </w:rPr>
            </w:pPr>
            <w:r>
              <w:rPr>
                <w:b/>
                <w:bCs/>
              </w:rPr>
              <w:t xml:space="preserve">MICS Number </w:t>
            </w:r>
          </w:p>
          <w:p w14:paraId="39FBA8FC" w14:textId="77777777" w:rsidR="003F4026" w:rsidRDefault="003F4026" w:rsidP="003F4026">
            <w:pPr>
              <w:pStyle w:val="List"/>
              <w:ind w:left="0" w:firstLine="0"/>
              <w:jc w:val="center"/>
              <w:rPr>
                <w:b/>
                <w:bCs/>
              </w:rPr>
            </w:pPr>
            <w:r>
              <w:rPr>
                <w:b/>
                <w:bCs/>
              </w:rPr>
              <w:t>or</w:t>
            </w:r>
          </w:p>
          <w:p w14:paraId="068E8BB0" w14:textId="77777777" w:rsidR="003F4026" w:rsidRDefault="003F4026" w:rsidP="003F4026">
            <w:pPr>
              <w:pStyle w:val="List"/>
              <w:ind w:left="0" w:firstLine="0"/>
              <w:jc w:val="center"/>
              <w:rPr>
                <w:b/>
                <w:bCs/>
              </w:rPr>
            </w:pPr>
            <w:r>
              <w:rPr>
                <w:b/>
                <w:bCs/>
              </w:rPr>
              <w:t>Regulation</w:t>
            </w:r>
          </w:p>
          <w:p w14:paraId="1ABEC1FE" w14:textId="77777777" w:rsidR="003F4026" w:rsidRDefault="003F4026" w:rsidP="003F4026">
            <w:pPr>
              <w:pStyle w:val="BodyTextIndent"/>
              <w:rPr>
                <w:sz w:val="20"/>
                <w:szCs w:val="20"/>
              </w:rPr>
            </w:pPr>
          </w:p>
        </w:tc>
        <w:tc>
          <w:tcPr>
            <w:tcW w:w="3870" w:type="dxa"/>
          </w:tcPr>
          <w:p w14:paraId="2591A4FF" w14:textId="661DD855" w:rsidR="003F4026" w:rsidRPr="003F4026" w:rsidRDefault="003F4026" w:rsidP="003F4026">
            <w:pPr>
              <w:pStyle w:val="List"/>
              <w:ind w:left="0" w:firstLine="0"/>
              <w:jc w:val="center"/>
              <w:rPr>
                <w:b/>
                <w:bCs/>
              </w:rPr>
            </w:pPr>
            <w:r w:rsidRPr="003F4026">
              <w:rPr>
                <w:b/>
                <w:bCs/>
              </w:rPr>
              <w:t>Description of</w:t>
            </w:r>
          </w:p>
          <w:p w14:paraId="5F739E1B" w14:textId="77777777" w:rsidR="003F4026" w:rsidRPr="003F4026" w:rsidRDefault="003F4026" w:rsidP="003F4026">
            <w:pPr>
              <w:pStyle w:val="List"/>
              <w:ind w:left="0" w:firstLine="0"/>
              <w:jc w:val="center"/>
              <w:rPr>
                <w:b/>
                <w:bCs/>
              </w:rPr>
            </w:pPr>
            <w:r w:rsidRPr="003F4026">
              <w:rPr>
                <w:b/>
                <w:bCs/>
              </w:rPr>
              <w:t>Variation/Waiver Granted</w:t>
            </w:r>
          </w:p>
          <w:p w14:paraId="718558FB" w14:textId="22012FD7" w:rsidR="003F4026" w:rsidRPr="003F4026" w:rsidRDefault="003F4026" w:rsidP="003F4026">
            <w:pPr>
              <w:pStyle w:val="List"/>
              <w:ind w:left="0" w:firstLine="0"/>
              <w:jc w:val="center"/>
              <w:rPr>
                <w:b/>
                <w:bCs/>
              </w:rPr>
            </w:pPr>
            <w:r w:rsidRPr="003F4026">
              <w:rPr>
                <w:b/>
                <w:bCs/>
              </w:rPr>
              <w:t>or</w:t>
            </w:r>
          </w:p>
          <w:p w14:paraId="2324E4CC" w14:textId="23B399F5" w:rsidR="003F4026" w:rsidRDefault="003F4026" w:rsidP="003F4026">
            <w:pPr>
              <w:pStyle w:val="BodyTextIndent"/>
              <w:jc w:val="center"/>
              <w:rPr>
                <w:sz w:val="20"/>
                <w:szCs w:val="20"/>
              </w:rPr>
            </w:pPr>
            <w:r w:rsidRPr="003F4026">
              <w:rPr>
                <w:b/>
                <w:bCs/>
                <w:sz w:val="20"/>
                <w:szCs w:val="20"/>
              </w:rPr>
              <w:t>Associated Equipment Approval</w:t>
            </w:r>
          </w:p>
        </w:tc>
        <w:tc>
          <w:tcPr>
            <w:tcW w:w="2160" w:type="dxa"/>
          </w:tcPr>
          <w:p w14:paraId="596A3070" w14:textId="3C2620C0" w:rsidR="003F4026" w:rsidRDefault="003F4026" w:rsidP="003F4026">
            <w:pPr>
              <w:pStyle w:val="BodyTextIndent"/>
              <w:jc w:val="center"/>
              <w:rPr>
                <w:sz w:val="20"/>
                <w:szCs w:val="20"/>
              </w:rPr>
            </w:pPr>
            <w:r w:rsidRPr="003F4026">
              <w:rPr>
                <w:b/>
                <w:bCs/>
                <w:sz w:val="20"/>
              </w:rPr>
              <w:t>Number(s) of Procedure Modified or Added</w:t>
            </w:r>
          </w:p>
        </w:tc>
        <w:tc>
          <w:tcPr>
            <w:tcW w:w="1620" w:type="dxa"/>
          </w:tcPr>
          <w:p w14:paraId="1DC329F0" w14:textId="77777777" w:rsidR="003F4026" w:rsidRPr="003F4026" w:rsidRDefault="003F4026" w:rsidP="003F4026">
            <w:pPr>
              <w:pStyle w:val="List"/>
              <w:ind w:left="0" w:firstLine="0"/>
              <w:jc w:val="center"/>
              <w:rPr>
                <w:b/>
                <w:bCs/>
              </w:rPr>
            </w:pPr>
            <w:r w:rsidRPr="003F4026">
              <w:rPr>
                <w:b/>
                <w:bCs/>
              </w:rPr>
              <w:t>W/P Ref.</w:t>
            </w:r>
          </w:p>
          <w:p w14:paraId="59D119B8" w14:textId="632C9AE7" w:rsidR="003F4026" w:rsidRDefault="003F4026" w:rsidP="003F4026">
            <w:pPr>
              <w:pStyle w:val="BodyTextIndent"/>
              <w:jc w:val="center"/>
              <w:rPr>
                <w:sz w:val="20"/>
                <w:szCs w:val="20"/>
              </w:rPr>
            </w:pPr>
            <w:r w:rsidRPr="003F4026">
              <w:rPr>
                <w:b/>
                <w:bCs/>
                <w:sz w:val="20"/>
                <w:szCs w:val="20"/>
              </w:rPr>
              <w:t>(if appl.)</w:t>
            </w:r>
          </w:p>
        </w:tc>
      </w:tr>
      <w:tr w:rsidR="003F4026" w14:paraId="289737B8" w14:textId="77777777" w:rsidTr="00CA24DB">
        <w:tc>
          <w:tcPr>
            <w:tcW w:w="1350" w:type="dxa"/>
          </w:tcPr>
          <w:p w14:paraId="4E9D557F" w14:textId="77777777" w:rsidR="003F4026" w:rsidRPr="003F4026" w:rsidRDefault="003F4026" w:rsidP="003F4026">
            <w:pPr>
              <w:pStyle w:val="List"/>
              <w:ind w:left="0" w:firstLine="0"/>
              <w:rPr>
                <w:bCs/>
              </w:rPr>
            </w:pPr>
          </w:p>
        </w:tc>
        <w:tc>
          <w:tcPr>
            <w:tcW w:w="1980" w:type="dxa"/>
          </w:tcPr>
          <w:p w14:paraId="04E5C261" w14:textId="77777777" w:rsidR="003F4026" w:rsidRPr="003F4026" w:rsidRDefault="003F4026" w:rsidP="003F4026">
            <w:pPr>
              <w:pStyle w:val="List"/>
              <w:ind w:left="0" w:firstLine="0"/>
              <w:rPr>
                <w:bCs/>
              </w:rPr>
            </w:pPr>
          </w:p>
        </w:tc>
        <w:tc>
          <w:tcPr>
            <w:tcW w:w="3870" w:type="dxa"/>
          </w:tcPr>
          <w:p w14:paraId="7D5EC386" w14:textId="77777777" w:rsidR="003F4026" w:rsidRPr="003F4026" w:rsidRDefault="003F4026" w:rsidP="003F4026">
            <w:pPr>
              <w:pStyle w:val="List"/>
              <w:ind w:left="0" w:firstLine="0"/>
              <w:rPr>
                <w:bCs/>
              </w:rPr>
            </w:pPr>
          </w:p>
        </w:tc>
        <w:tc>
          <w:tcPr>
            <w:tcW w:w="2160" w:type="dxa"/>
          </w:tcPr>
          <w:p w14:paraId="377FE60A" w14:textId="77777777" w:rsidR="003F4026" w:rsidRPr="003F4026" w:rsidRDefault="003F4026" w:rsidP="003F4026">
            <w:pPr>
              <w:pStyle w:val="BodyTextIndent"/>
              <w:rPr>
                <w:bCs/>
                <w:sz w:val="20"/>
              </w:rPr>
            </w:pPr>
          </w:p>
        </w:tc>
        <w:tc>
          <w:tcPr>
            <w:tcW w:w="1620" w:type="dxa"/>
          </w:tcPr>
          <w:p w14:paraId="40A8D8F0" w14:textId="77777777" w:rsidR="003F4026" w:rsidRPr="003F4026" w:rsidRDefault="003F4026" w:rsidP="003F4026">
            <w:pPr>
              <w:pStyle w:val="List"/>
              <w:ind w:left="0" w:firstLine="0"/>
              <w:rPr>
                <w:bCs/>
              </w:rPr>
            </w:pPr>
          </w:p>
        </w:tc>
      </w:tr>
      <w:tr w:rsidR="003F4026" w14:paraId="12D24B4F" w14:textId="77777777" w:rsidTr="00CA24DB">
        <w:tc>
          <w:tcPr>
            <w:tcW w:w="1350" w:type="dxa"/>
          </w:tcPr>
          <w:p w14:paraId="064AEEB3" w14:textId="77777777" w:rsidR="003F4026" w:rsidRPr="003F4026" w:rsidRDefault="003F4026" w:rsidP="003F4026">
            <w:pPr>
              <w:pStyle w:val="List"/>
              <w:ind w:left="0" w:firstLine="0"/>
              <w:rPr>
                <w:bCs/>
              </w:rPr>
            </w:pPr>
          </w:p>
        </w:tc>
        <w:tc>
          <w:tcPr>
            <w:tcW w:w="1980" w:type="dxa"/>
          </w:tcPr>
          <w:p w14:paraId="03B406EC" w14:textId="77777777" w:rsidR="003F4026" w:rsidRPr="003F4026" w:rsidRDefault="003F4026" w:rsidP="003F4026">
            <w:pPr>
              <w:pStyle w:val="List"/>
              <w:ind w:left="0" w:firstLine="0"/>
              <w:rPr>
                <w:bCs/>
              </w:rPr>
            </w:pPr>
          </w:p>
        </w:tc>
        <w:tc>
          <w:tcPr>
            <w:tcW w:w="3870" w:type="dxa"/>
          </w:tcPr>
          <w:p w14:paraId="2C7A408F" w14:textId="77777777" w:rsidR="003F4026" w:rsidRPr="003F4026" w:rsidRDefault="003F4026" w:rsidP="003F4026">
            <w:pPr>
              <w:pStyle w:val="List"/>
              <w:ind w:left="0" w:firstLine="0"/>
              <w:rPr>
                <w:bCs/>
              </w:rPr>
            </w:pPr>
          </w:p>
        </w:tc>
        <w:tc>
          <w:tcPr>
            <w:tcW w:w="2160" w:type="dxa"/>
          </w:tcPr>
          <w:p w14:paraId="690B89F5" w14:textId="77777777" w:rsidR="003F4026" w:rsidRPr="003F4026" w:rsidRDefault="003F4026" w:rsidP="003F4026">
            <w:pPr>
              <w:pStyle w:val="BodyTextIndent"/>
              <w:rPr>
                <w:bCs/>
                <w:sz w:val="20"/>
              </w:rPr>
            </w:pPr>
          </w:p>
        </w:tc>
        <w:tc>
          <w:tcPr>
            <w:tcW w:w="1620" w:type="dxa"/>
          </w:tcPr>
          <w:p w14:paraId="7AB87E4D" w14:textId="77777777" w:rsidR="003F4026" w:rsidRPr="003F4026" w:rsidRDefault="003F4026" w:rsidP="003F4026">
            <w:pPr>
              <w:pStyle w:val="List"/>
              <w:ind w:left="0" w:firstLine="0"/>
              <w:rPr>
                <w:bCs/>
              </w:rPr>
            </w:pPr>
          </w:p>
        </w:tc>
      </w:tr>
      <w:tr w:rsidR="003F4026" w14:paraId="16429D31" w14:textId="77777777" w:rsidTr="00CA24DB">
        <w:tc>
          <w:tcPr>
            <w:tcW w:w="1350" w:type="dxa"/>
          </w:tcPr>
          <w:p w14:paraId="376A286A" w14:textId="77777777" w:rsidR="003F4026" w:rsidRPr="003F4026" w:rsidRDefault="003F4026" w:rsidP="003F4026">
            <w:pPr>
              <w:pStyle w:val="List"/>
              <w:ind w:left="0" w:firstLine="0"/>
              <w:rPr>
                <w:bCs/>
              </w:rPr>
            </w:pPr>
          </w:p>
        </w:tc>
        <w:tc>
          <w:tcPr>
            <w:tcW w:w="1980" w:type="dxa"/>
          </w:tcPr>
          <w:p w14:paraId="7E9D3C67" w14:textId="77777777" w:rsidR="003F4026" w:rsidRPr="003F4026" w:rsidRDefault="003F4026" w:rsidP="003F4026">
            <w:pPr>
              <w:pStyle w:val="List"/>
              <w:ind w:left="0" w:firstLine="0"/>
              <w:rPr>
                <w:bCs/>
              </w:rPr>
            </w:pPr>
          </w:p>
        </w:tc>
        <w:tc>
          <w:tcPr>
            <w:tcW w:w="3870" w:type="dxa"/>
          </w:tcPr>
          <w:p w14:paraId="712329B6" w14:textId="77777777" w:rsidR="003F4026" w:rsidRPr="003F4026" w:rsidRDefault="003F4026" w:rsidP="003F4026">
            <w:pPr>
              <w:pStyle w:val="List"/>
              <w:ind w:left="0" w:firstLine="0"/>
              <w:rPr>
                <w:bCs/>
              </w:rPr>
            </w:pPr>
          </w:p>
        </w:tc>
        <w:tc>
          <w:tcPr>
            <w:tcW w:w="2160" w:type="dxa"/>
          </w:tcPr>
          <w:p w14:paraId="6D041357" w14:textId="77777777" w:rsidR="003F4026" w:rsidRPr="003F4026" w:rsidRDefault="003F4026" w:rsidP="003F4026">
            <w:pPr>
              <w:pStyle w:val="BodyTextIndent"/>
              <w:rPr>
                <w:bCs/>
                <w:sz w:val="20"/>
              </w:rPr>
            </w:pPr>
          </w:p>
        </w:tc>
        <w:tc>
          <w:tcPr>
            <w:tcW w:w="1620" w:type="dxa"/>
          </w:tcPr>
          <w:p w14:paraId="5066E3EB" w14:textId="77777777" w:rsidR="003F4026" w:rsidRPr="003F4026" w:rsidRDefault="003F4026" w:rsidP="003F4026">
            <w:pPr>
              <w:pStyle w:val="List"/>
              <w:ind w:left="0" w:firstLine="0"/>
              <w:rPr>
                <w:bCs/>
              </w:rPr>
            </w:pPr>
          </w:p>
        </w:tc>
      </w:tr>
      <w:tr w:rsidR="003F4026" w14:paraId="10C4E856" w14:textId="77777777" w:rsidTr="00CA24DB">
        <w:tc>
          <w:tcPr>
            <w:tcW w:w="1350" w:type="dxa"/>
          </w:tcPr>
          <w:p w14:paraId="177DE433" w14:textId="77777777" w:rsidR="003F4026" w:rsidRPr="003F4026" w:rsidRDefault="003F4026" w:rsidP="003F4026">
            <w:pPr>
              <w:pStyle w:val="List"/>
              <w:ind w:left="0" w:firstLine="0"/>
              <w:rPr>
                <w:bCs/>
              </w:rPr>
            </w:pPr>
          </w:p>
        </w:tc>
        <w:tc>
          <w:tcPr>
            <w:tcW w:w="1980" w:type="dxa"/>
          </w:tcPr>
          <w:p w14:paraId="53A832E5" w14:textId="77777777" w:rsidR="003F4026" w:rsidRPr="003F4026" w:rsidRDefault="003F4026" w:rsidP="003F4026">
            <w:pPr>
              <w:pStyle w:val="List"/>
              <w:ind w:left="0" w:firstLine="0"/>
              <w:rPr>
                <w:bCs/>
              </w:rPr>
            </w:pPr>
          </w:p>
        </w:tc>
        <w:tc>
          <w:tcPr>
            <w:tcW w:w="3870" w:type="dxa"/>
          </w:tcPr>
          <w:p w14:paraId="76B56822" w14:textId="77777777" w:rsidR="003F4026" w:rsidRPr="003F4026" w:rsidRDefault="003F4026" w:rsidP="003F4026">
            <w:pPr>
              <w:pStyle w:val="List"/>
              <w:ind w:left="0" w:firstLine="0"/>
              <w:rPr>
                <w:bCs/>
              </w:rPr>
            </w:pPr>
          </w:p>
        </w:tc>
        <w:tc>
          <w:tcPr>
            <w:tcW w:w="2160" w:type="dxa"/>
          </w:tcPr>
          <w:p w14:paraId="2868E49A" w14:textId="77777777" w:rsidR="003F4026" w:rsidRPr="003F4026" w:rsidRDefault="003F4026" w:rsidP="003F4026">
            <w:pPr>
              <w:pStyle w:val="BodyTextIndent"/>
              <w:rPr>
                <w:bCs/>
                <w:sz w:val="20"/>
              </w:rPr>
            </w:pPr>
          </w:p>
        </w:tc>
        <w:tc>
          <w:tcPr>
            <w:tcW w:w="1620" w:type="dxa"/>
          </w:tcPr>
          <w:p w14:paraId="5B16B259" w14:textId="77777777" w:rsidR="003F4026" w:rsidRPr="003F4026" w:rsidRDefault="003F4026" w:rsidP="003F4026">
            <w:pPr>
              <w:pStyle w:val="List"/>
              <w:ind w:left="0" w:firstLine="0"/>
              <w:rPr>
                <w:bCs/>
              </w:rPr>
            </w:pPr>
          </w:p>
        </w:tc>
      </w:tr>
      <w:tr w:rsidR="003F4026" w14:paraId="3562F445" w14:textId="77777777" w:rsidTr="00CA24DB">
        <w:tc>
          <w:tcPr>
            <w:tcW w:w="1350" w:type="dxa"/>
          </w:tcPr>
          <w:p w14:paraId="0E169425" w14:textId="77777777" w:rsidR="003F4026" w:rsidRPr="003F4026" w:rsidRDefault="003F4026" w:rsidP="003F4026">
            <w:pPr>
              <w:pStyle w:val="List"/>
              <w:ind w:left="0" w:firstLine="0"/>
              <w:rPr>
                <w:bCs/>
              </w:rPr>
            </w:pPr>
          </w:p>
        </w:tc>
        <w:tc>
          <w:tcPr>
            <w:tcW w:w="1980" w:type="dxa"/>
          </w:tcPr>
          <w:p w14:paraId="133E0039" w14:textId="77777777" w:rsidR="003F4026" w:rsidRPr="003F4026" w:rsidRDefault="003F4026" w:rsidP="003F4026">
            <w:pPr>
              <w:pStyle w:val="List"/>
              <w:ind w:left="0" w:firstLine="0"/>
              <w:rPr>
                <w:bCs/>
              </w:rPr>
            </w:pPr>
          </w:p>
        </w:tc>
        <w:tc>
          <w:tcPr>
            <w:tcW w:w="3870" w:type="dxa"/>
          </w:tcPr>
          <w:p w14:paraId="4C9B47B3" w14:textId="77777777" w:rsidR="003F4026" w:rsidRPr="003F4026" w:rsidRDefault="003F4026" w:rsidP="003F4026">
            <w:pPr>
              <w:pStyle w:val="List"/>
              <w:ind w:left="0" w:firstLine="0"/>
              <w:rPr>
                <w:bCs/>
              </w:rPr>
            </w:pPr>
          </w:p>
        </w:tc>
        <w:tc>
          <w:tcPr>
            <w:tcW w:w="2160" w:type="dxa"/>
          </w:tcPr>
          <w:p w14:paraId="7C1A7251" w14:textId="77777777" w:rsidR="003F4026" w:rsidRPr="003F4026" w:rsidRDefault="003F4026" w:rsidP="003F4026">
            <w:pPr>
              <w:pStyle w:val="BodyTextIndent"/>
              <w:rPr>
                <w:bCs/>
                <w:sz w:val="20"/>
              </w:rPr>
            </w:pPr>
          </w:p>
        </w:tc>
        <w:tc>
          <w:tcPr>
            <w:tcW w:w="1620" w:type="dxa"/>
          </w:tcPr>
          <w:p w14:paraId="1DA09AE5" w14:textId="77777777" w:rsidR="003F4026" w:rsidRPr="003F4026" w:rsidRDefault="003F4026" w:rsidP="003F4026">
            <w:pPr>
              <w:pStyle w:val="List"/>
              <w:ind w:left="0" w:firstLine="0"/>
              <w:rPr>
                <w:bCs/>
              </w:rPr>
            </w:pPr>
          </w:p>
        </w:tc>
      </w:tr>
    </w:tbl>
    <w:p w14:paraId="1CFEBAD7" w14:textId="13133CB6" w:rsidR="0059251C" w:rsidRDefault="0059251C">
      <w:pPr>
        <w:pStyle w:val="BodyTextIndent"/>
        <w:ind w:left="1725" w:hanging="1725"/>
        <w:rPr>
          <w:sz w:val="20"/>
          <w:szCs w:val="20"/>
        </w:rPr>
      </w:pPr>
    </w:p>
    <w:p w14:paraId="2F31C3CE" w14:textId="77777777" w:rsidR="003F4026" w:rsidRDefault="003F4026">
      <w:pPr>
        <w:pStyle w:val="BodyTextIndent"/>
        <w:ind w:left="1725" w:hanging="1725"/>
        <w:rPr>
          <w:sz w:val="20"/>
          <w:szCs w:val="2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5"/>
        <w:gridCol w:w="1163"/>
        <w:gridCol w:w="1872"/>
      </w:tblGrid>
      <w:tr w:rsidR="0059251C" w14:paraId="33EAB1F8" w14:textId="77777777" w:rsidTr="003F4026">
        <w:trPr>
          <w:cantSplit/>
          <w:trHeight w:val="1008"/>
          <w:tblHeader/>
        </w:trPr>
        <w:tc>
          <w:tcPr>
            <w:tcW w:w="7755" w:type="dxa"/>
            <w:shd w:val="clear" w:color="auto" w:fill="E0E0E0"/>
            <w:vAlign w:val="bottom"/>
          </w:tcPr>
          <w:p w14:paraId="14CC8228" w14:textId="77777777" w:rsidR="0059251C" w:rsidRDefault="0059251C">
            <w:pPr>
              <w:rPr>
                <w:b/>
                <w:bCs/>
              </w:rPr>
            </w:pPr>
            <w:r>
              <w:rPr>
                <w:b/>
                <w:bCs/>
              </w:rPr>
              <w:lastRenderedPageBreak/>
              <w:t>Test Date Selected:</w:t>
            </w:r>
          </w:p>
        </w:tc>
        <w:tc>
          <w:tcPr>
            <w:tcW w:w="1163" w:type="dxa"/>
            <w:tcBorders>
              <w:bottom w:val="single" w:sz="4" w:space="0" w:color="auto"/>
            </w:tcBorders>
            <w:shd w:val="clear" w:color="auto" w:fill="E0E0E0"/>
          </w:tcPr>
          <w:p w14:paraId="04A9EAD0" w14:textId="77777777" w:rsidR="0059251C" w:rsidRDefault="0059251C">
            <w:pPr>
              <w:rPr>
                <w:sz w:val="16"/>
              </w:rPr>
            </w:pPr>
          </w:p>
          <w:p w14:paraId="05A1DC79" w14:textId="77777777" w:rsidR="0059251C" w:rsidRDefault="0059251C">
            <w:pPr>
              <w:rPr>
                <w:sz w:val="16"/>
              </w:rPr>
            </w:pPr>
            <w:r>
              <w:rPr>
                <w:sz w:val="16"/>
              </w:rPr>
              <w:t>Step completed without exception</w:t>
            </w:r>
          </w:p>
        </w:tc>
        <w:tc>
          <w:tcPr>
            <w:tcW w:w="1872" w:type="dxa"/>
            <w:tcBorders>
              <w:bottom w:val="single" w:sz="4" w:space="0" w:color="auto"/>
            </w:tcBorders>
            <w:shd w:val="clear" w:color="auto" w:fill="E0E0E0"/>
          </w:tcPr>
          <w:p w14:paraId="2D93B632" w14:textId="77777777" w:rsidR="0059251C" w:rsidRDefault="0059251C">
            <w:pPr>
              <w:jc w:val="center"/>
              <w:rPr>
                <w:rFonts w:ascii="Arial" w:hAnsi="Arial" w:cs="Arial"/>
              </w:rPr>
            </w:pPr>
          </w:p>
          <w:p w14:paraId="16C16466" w14:textId="77777777" w:rsidR="0059251C" w:rsidRDefault="0059251C">
            <w:pPr>
              <w:jc w:val="center"/>
              <w:rPr>
                <w:rFonts w:ascii="Arial" w:hAnsi="Arial" w:cs="Arial"/>
              </w:rPr>
            </w:pPr>
          </w:p>
          <w:p w14:paraId="1435546E" w14:textId="77777777" w:rsidR="0059251C" w:rsidRDefault="0059251C">
            <w:pPr>
              <w:jc w:val="center"/>
              <w:rPr>
                <w:rFonts w:ascii="Arial" w:hAnsi="Arial" w:cs="Arial"/>
              </w:rPr>
            </w:pPr>
          </w:p>
          <w:p w14:paraId="5CF4BC5A" w14:textId="77777777" w:rsidR="0059251C" w:rsidRDefault="0059251C">
            <w:pPr>
              <w:pStyle w:val="Header"/>
              <w:tabs>
                <w:tab w:val="clear" w:pos="4320"/>
                <w:tab w:val="clear" w:pos="8640"/>
              </w:tabs>
              <w:jc w:val="center"/>
            </w:pPr>
            <w:r>
              <w:t>Exception/Comment</w:t>
            </w:r>
          </w:p>
        </w:tc>
      </w:tr>
      <w:tr w:rsidR="0059251C" w14:paraId="2D556D90" w14:textId="77777777" w:rsidTr="003F4026">
        <w:trPr>
          <w:cantSplit/>
        </w:trPr>
        <w:tc>
          <w:tcPr>
            <w:tcW w:w="7755" w:type="dxa"/>
            <w:tcMar>
              <w:left w:w="115" w:type="dxa"/>
              <w:bottom w:w="144" w:type="dxa"/>
              <w:right w:w="115" w:type="dxa"/>
            </w:tcMar>
          </w:tcPr>
          <w:p w14:paraId="4DBA58CD" w14:textId="724BCD23" w:rsidR="0059251C" w:rsidRDefault="0059251C">
            <w:pPr>
              <w:pStyle w:val="List"/>
              <w:numPr>
                <w:ilvl w:val="0"/>
                <w:numId w:val="14"/>
              </w:numPr>
            </w:pPr>
            <w:r>
              <w:t xml:space="preserve">Review prior internal audit reports.  Schedule any relevant exceptions cited, including those cited by the </w:t>
            </w:r>
            <w:r w:rsidR="00931C17">
              <w:t>N</w:t>
            </w:r>
            <w:r>
              <w:t>GCB or the CPA, or include a copy of the prior audit reports in the workpapers and follow-up on any problems noted.  Duplication of exceptions when the CPA is referring to exceptions reported in internal audit reports is not necessary.</w:t>
            </w:r>
          </w:p>
        </w:tc>
        <w:tc>
          <w:tcPr>
            <w:tcW w:w="1163" w:type="dxa"/>
          </w:tcPr>
          <w:p w14:paraId="00ED84EC" w14:textId="77777777" w:rsidR="0059251C" w:rsidRDefault="0059251C">
            <w:pPr>
              <w:pStyle w:val="Header"/>
              <w:tabs>
                <w:tab w:val="clear" w:pos="4320"/>
                <w:tab w:val="clear" w:pos="8640"/>
              </w:tabs>
              <w:rPr>
                <w:rFonts w:ascii="Arial" w:hAnsi="Arial" w:cs="Arial"/>
              </w:rPr>
            </w:pPr>
          </w:p>
        </w:tc>
        <w:tc>
          <w:tcPr>
            <w:tcW w:w="1872" w:type="dxa"/>
          </w:tcPr>
          <w:p w14:paraId="3310FA0C" w14:textId="77777777" w:rsidR="0059251C" w:rsidRDefault="0059251C">
            <w:pPr>
              <w:rPr>
                <w:rFonts w:ascii="Arial" w:hAnsi="Arial" w:cs="Arial"/>
              </w:rPr>
            </w:pPr>
          </w:p>
        </w:tc>
      </w:tr>
      <w:tr w:rsidR="0059251C" w14:paraId="7B6405FE" w14:textId="77777777" w:rsidTr="003F4026">
        <w:trPr>
          <w:cantSplit/>
        </w:trPr>
        <w:tc>
          <w:tcPr>
            <w:tcW w:w="7755" w:type="dxa"/>
            <w:tcMar>
              <w:left w:w="115" w:type="dxa"/>
              <w:bottom w:w="144" w:type="dxa"/>
              <w:right w:w="115" w:type="dxa"/>
            </w:tcMar>
          </w:tcPr>
          <w:p w14:paraId="4158EC11" w14:textId="77777777" w:rsidR="0059251C" w:rsidRDefault="0059251C">
            <w:pPr>
              <w:numPr>
                <w:ilvl w:val="0"/>
                <w:numId w:val="14"/>
              </w:numPr>
            </w:pPr>
            <w:r>
              <w:t xml:space="preserve">For one shift, trace the total opening table chip inventory on the master games summary to the total closing table chip inventory on the master games summary for the prior shift.  Then trace the total closing table inventories to the total opening table inventories on the next shift.  </w:t>
            </w:r>
            <w:r>
              <w:rPr>
                <w:b/>
                <w:bCs/>
              </w:rPr>
              <w:t>(Revenue)</w:t>
            </w:r>
          </w:p>
        </w:tc>
        <w:tc>
          <w:tcPr>
            <w:tcW w:w="1163" w:type="dxa"/>
          </w:tcPr>
          <w:p w14:paraId="0B651398" w14:textId="77777777" w:rsidR="0059251C" w:rsidRDefault="0059251C">
            <w:pPr>
              <w:rPr>
                <w:rFonts w:ascii="Arial" w:hAnsi="Arial" w:cs="Arial"/>
              </w:rPr>
            </w:pPr>
          </w:p>
        </w:tc>
        <w:tc>
          <w:tcPr>
            <w:tcW w:w="1872" w:type="dxa"/>
          </w:tcPr>
          <w:p w14:paraId="3FAD6E0F" w14:textId="77777777" w:rsidR="0059251C" w:rsidRDefault="0059251C">
            <w:pPr>
              <w:rPr>
                <w:rFonts w:ascii="Arial" w:hAnsi="Arial" w:cs="Arial"/>
              </w:rPr>
            </w:pPr>
          </w:p>
        </w:tc>
      </w:tr>
      <w:tr w:rsidR="0059251C" w14:paraId="64C30357" w14:textId="77777777" w:rsidTr="003F4026">
        <w:trPr>
          <w:cantSplit/>
        </w:trPr>
        <w:tc>
          <w:tcPr>
            <w:tcW w:w="7755" w:type="dxa"/>
            <w:tcMar>
              <w:left w:w="115" w:type="dxa"/>
              <w:bottom w:w="144" w:type="dxa"/>
              <w:right w:w="115" w:type="dxa"/>
            </w:tcMar>
          </w:tcPr>
          <w:p w14:paraId="4746EB97" w14:textId="77777777" w:rsidR="0059251C" w:rsidRPr="005B4A66" w:rsidRDefault="0059251C">
            <w:pPr>
              <w:numPr>
                <w:ilvl w:val="0"/>
                <w:numId w:val="14"/>
              </w:numPr>
            </w:pPr>
            <w:r>
              <w:t>For one shift, trace opening table marker inventory</w:t>
            </w:r>
            <w:r w:rsidR="005B4A66">
              <w:t xml:space="preserve"> </w:t>
            </w:r>
            <w:r>
              <w:t xml:space="preserve">on the master games summary to closing marker inventory on the master games summary from the prior shift.  Then trace closing table marker inventories to the opening table marker inventories on the next shift in total.  </w:t>
            </w:r>
            <w:r>
              <w:rPr>
                <w:b/>
                <w:bCs/>
              </w:rPr>
              <w:t>(Revenue)</w:t>
            </w:r>
          </w:p>
          <w:p w14:paraId="06C8E5B0" w14:textId="77777777" w:rsidR="005B4A66" w:rsidRPr="00332F06" w:rsidRDefault="005B4A66" w:rsidP="005B4A66">
            <w:pPr>
              <w:rPr>
                <w:sz w:val="16"/>
              </w:rPr>
            </w:pPr>
          </w:p>
          <w:p w14:paraId="64203EA4" w14:textId="77777777" w:rsidR="005B4A66" w:rsidRPr="00C01E22" w:rsidRDefault="005B4A66" w:rsidP="005B4A66">
            <w:pPr>
              <w:ind w:left="353"/>
            </w:pPr>
            <w:r w:rsidRPr="00F754B4">
              <w:rPr>
                <w:b/>
              </w:rPr>
              <w:t>Note</w:t>
            </w:r>
            <w:r w:rsidR="00352F3B" w:rsidRPr="00F754B4">
              <w:rPr>
                <w:b/>
              </w:rPr>
              <w:t xml:space="preserve"> 1</w:t>
            </w:r>
            <w:r w:rsidRPr="00F754B4">
              <w:rPr>
                <w:b/>
              </w:rPr>
              <w:t>:</w:t>
            </w:r>
            <w:r w:rsidRPr="00C01E22">
              <w:t xml:space="preserve"> Marker inventory includes outstanding rim inventory, if applicable.</w:t>
            </w:r>
          </w:p>
          <w:p w14:paraId="44101223" w14:textId="77777777" w:rsidR="00352F3B" w:rsidRPr="00332F06" w:rsidRDefault="00352F3B" w:rsidP="005B4A66">
            <w:pPr>
              <w:ind w:left="353"/>
              <w:rPr>
                <w:sz w:val="16"/>
              </w:rPr>
            </w:pPr>
          </w:p>
          <w:p w14:paraId="3794AC85" w14:textId="77777777" w:rsidR="00352F3B" w:rsidRPr="00C01E22" w:rsidRDefault="00352F3B" w:rsidP="005B4A66">
            <w:pPr>
              <w:ind w:left="353"/>
            </w:pPr>
            <w:r w:rsidRPr="00F754B4">
              <w:rPr>
                <w:b/>
              </w:rPr>
              <w:t>Note 2:</w:t>
            </w:r>
            <w:r w:rsidRPr="00C01E22">
              <w:t xml:space="preserve">  If the table’s chips, token</w:t>
            </w:r>
            <w:r w:rsidR="00C75E0A" w:rsidRPr="00C01E22">
              <w:t>s</w:t>
            </w:r>
            <w:r w:rsidRPr="00C01E22">
              <w:t>, markers and outstanding rim credit is lumped into one total when performing testing procedure #2, then the marker inventory has been trace</w:t>
            </w:r>
            <w:r w:rsidR="00C75E0A" w:rsidRPr="00C01E22">
              <w:t>d since it is</w:t>
            </w:r>
            <w:r w:rsidRPr="00C01E22">
              <w:t xml:space="preserve"> included in the total table chip inventory.  For this situation,</w:t>
            </w:r>
            <w:r w:rsidR="00C2167A" w:rsidRPr="00C01E22">
              <w:t xml:space="preserve"> indicate this procedure was performed in conjunction with the performance of #2 since the marker inventory is included in the table chip inventory total.</w:t>
            </w:r>
            <w:r w:rsidRPr="00C01E22">
              <w:t xml:space="preserve"> </w:t>
            </w:r>
          </w:p>
        </w:tc>
        <w:tc>
          <w:tcPr>
            <w:tcW w:w="1163" w:type="dxa"/>
          </w:tcPr>
          <w:p w14:paraId="5DAB420E" w14:textId="77777777" w:rsidR="0059251C" w:rsidRDefault="0059251C">
            <w:pPr>
              <w:rPr>
                <w:rFonts w:ascii="Arial" w:hAnsi="Arial" w:cs="Arial"/>
              </w:rPr>
            </w:pPr>
          </w:p>
        </w:tc>
        <w:tc>
          <w:tcPr>
            <w:tcW w:w="1872" w:type="dxa"/>
          </w:tcPr>
          <w:p w14:paraId="0E1207D4" w14:textId="77777777" w:rsidR="0059251C" w:rsidRDefault="0059251C">
            <w:pPr>
              <w:rPr>
                <w:rFonts w:ascii="Arial" w:hAnsi="Arial" w:cs="Arial"/>
              </w:rPr>
            </w:pPr>
          </w:p>
        </w:tc>
      </w:tr>
      <w:tr w:rsidR="0059251C" w14:paraId="2302CB47" w14:textId="77777777" w:rsidTr="003F4026">
        <w:trPr>
          <w:cantSplit/>
        </w:trPr>
        <w:tc>
          <w:tcPr>
            <w:tcW w:w="7755" w:type="dxa"/>
            <w:tcMar>
              <w:left w:w="115" w:type="dxa"/>
              <w:bottom w:w="144" w:type="dxa"/>
              <w:right w:w="115" w:type="dxa"/>
            </w:tcMar>
          </w:tcPr>
          <w:p w14:paraId="28640AB5" w14:textId="77777777" w:rsidR="0059251C" w:rsidRDefault="0059251C">
            <w:pPr>
              <w:numPr>
                <w:ilvl w:val="0"/>
                <w:numId w:val="14"/>
              </w:numPr>
            </w:pPr>
            <w:r>
              <w:t xml:space="preserve">For one shift, foot the restricted (locked box copies for manual systems, computer documentation for computerized systems) copies of the fill, credit, marker credit slips and the mass marker transfer forms (there is not a requirement that there be a restricted copy of this form) and trace to the totals on the master games summary.  </w:t>
            </w:r>
            <w:r>
              <w:rPr>
                <w:b/>
                <w:bCs/>
              </w:rPr>
              <w:t>(Revenue)</w:t>
            </w:r>
          </w:p>
          <w:p w14:paraId="20FB7D06" w14:textId="77777777" w:rsidR="0059251C" w:rsidRPr="00332F06" w:rsidRDefault="0059251C">
            <w:pPr>
              <w:rPr>
                <w:b/>
                <w:bCs/>
                <w:sz w:val="14"/>
              </w:rPr>
            </w:pPr>
          </w:p>
          <w:p w14:paraId="6AF81CA7" w14:textId="77777777" w:rsidR="0059251C" w:rsidRDefault="0059251C">
            <w:pPr>
              <w:ind w:left="353"/>
            </w:pPr>
            <w:r>
              <w:rPr>
                <w:b/>
                <w:bCs/>
              </w:rPr>
              <w:t xml:space="preserve">Note 1:  </w:t>
            </w:r>
            <w:r>
              <w:t>For computerized systems, this procedure need only be done for one of the two test dates selected for the fiscal year.</w:t>
            </w:r>
          </w:p>
          <w:p w14:paraId="4B702BD4" w14:textId="77777777" w:rsidR="0059251C" w:rsidRPr="00332F06" w:rsidRDefault="0059251C">
            <w:pPr>
              <w:ind w:left="353"/>
              <w:rPr>
                <w:sz w:val="14"/>
              </w:rPr>
            </w:pPr>
          </w:p>
          <w:p w14:paraId="294E32EB" w14:textId="77777777" w:rsidR="0059251C" w:rsidRDefault="0059251C">
            <w:pPr>
              <w:ind w:left="360"/>
            </w:pPr>
            <w:r>
              <w:rPr>
                <w:b/>
                <w:bCs/>
              </w:rPr>
              <w:t xml:space="preserve">Note 2:  </w:t>
            </w:r>
            <w:r>
              <w:t xml:space="preserve">Some licensees may include the marker credits and mass marker transfers in a separate column or columns on the master games summary and some may include them in the credit column.   </w:t>
            </w:r>
          </w:p>
        </w:tc>
        <w:tc>
          <w:tcPr>
            <w:tcW w:w="1163" w:type="dxa"/>
          </w:tcPr>
          <w:p w14:paraId="38041F1D" w14:textId="77777777" w:rsidR="0059251C" w:rsidRDefault="0059251C">
            <w:pPr>
              <w:rPr>
                <w:rFonts w:ascii="Arial" w:hAnsi="Arial" w:cs="Arial"/>
              </w:rPr>
            </w:pPr>
          </w:p>
        </w:tc>
        <w:tc>
          <w:tcPr>
            <w:tcW w:w="1872" w:type="dxa"/>
          </w:tcPr>
          <w:p w14:paraId="112A68CA" w14:textId="77777777" w:rsidR="0059251C" w:rsidRDefault="0059251C">
            <w:pPr>
              <w:rPr>
                <w:rFonts w:ascii="Arial" w:hAnsi="Arial" w:cs="Arial"/>
              </w:rPr>
            </w:pPr>
          </w:p>
        </w:tc>
      </w:tr>
      <w:tr w:rsidR="0059251C" w14:paraId="18A15D18" w14:textId="77777777" w:rsidTr="003F4026">
        <w:trPr>
          <w:cantSplit/>
        </w:trPr>
        <w:tc>
          <w:tcPr>
            <w:tcW w:w="7755" w:type="dxa"/>
            <w:tcMar>
              <w:left w:w="115" w:type="dxa"/>
              <w:bottom w:w="144" w:type="dxa"/>
              <w:right w:w="115" w:type="dxa"/>
            </w:tcMar>
          </w:tcPr>
          <w:p w14:paraId="3D3D179E" w14:textId="22DED23F" w:rsidR="0059251C" w:rsidRDefault="0059251C">
            <w:pPr>
              <w:numPr>
                <w:ilvl w:val="0"/>
                <w:numId w:val="14"/>
              </w:numPr>
            </w:pPr>
            <w:r>
              <w:t xml:space="preserve">For one shift, determine if the </w:t>
            </w:r>
            <w:r w:rsidR="00821DC9">
              <w:t>gross revenue</w:t>
            </w:r>
            <w:r>
              <w:t xml:space="preserve"> calculation has been properly computed on the master games summary for one game type total.  Investigate variances using source documents.  </w:t>
            </w:r>
            <w:r>
              <w:rPr>
                <w:b/>
                <w:bCs/>
              </w:rPr>
              <w:t>(Revenue)</w:t>
            </w:r>
          </w:p>
          <w:p w14:paraId="6BBFE468" w14:textId="77777777" w:rsidR="0059251C" w:rsidRPr="00332F06" w:rsidRDefault="0059251C">
            <w:pPr>
              <w:rPr>
                <w:sz w:val="12"/>
              </w:rPr>
            </w:pPr>
          </w:p>
          <w:p w14:paraId="3BAA6C15" w14:textId="77777777" w:rsidR="0059251C" w:rsidRDefault="0059251C">
            <w:pPr>
              <w:ind w:left="353"/>
              <w:rPr>
                <w:b/>
                <w:bCs/>
              </w:rPr>
            </w:pPr>
            <w:r>
              <w:rPr>
                <w:b/>
                <w:bCs/>
              </w:rPr>
              <w:t xml:space="preserve">Note:  </w:t>
            </w:r>
            <w:r>
              <w:t xml:space="preserve">For computerized systems, this procedure need only be done for one of the two test dates selected for the fiscal year.  For manually-prepared games summaries, </w:t>
            </w:r>
            <w:r>
              <w:rPr>
                <w:u w:val="single"/>
              </w:rPr>
              <w:t>all</w:t>
            </w:r>
            <w:r>
              <w:t xml:space="preserve"> game types must be footed and cross-footed for both test dates.</w:t>
            </w:r>
          </w:p>
        </w:tc>
        <w:tc>
          <w:tcPr>
            <w:tcW w:w="1163" w:type="dxa"/>
            <w:tcBorders>
              <w:bottom w:val="single" w:sz="4" w:space="0" w:color="auto"/>
            </w:tcBorders>
          </w:tcPr>
          <w:p w14:paraId="140136AD" w14:textId="77777777" w:rsidR="0059251C" w:rsidRDefault="0059251C">
            <w:pPr>
              <w:rPr>
                <w:rFonts w:ascii="Arial" w:hAnsi="Arial" w:cs="Arial"/>
              </w:rPr>
            </w:pPr>
          </w:p>
        </w:tc>
        <w:tc>
          <w:tcPr>
            <w:tcW w:w="1872" w:type="dxa"/>
            <w:tcBorders>
              <w:bottom w:val="single" w:sz="4" w:space="0" w:color="auto"/>
            </w:tcBorders>
          </w:tcPr>
          <w:p w14:paraId="0D9B448C" w14:textId="77777777" w:rsidR="0059251C" w:rsidRDefault="0059251C">
            <w:pPr>
              <w:rPr>
                <w:rFonts w:ascii="Arial" w:hAnsi="Arial" w:cs="Arial"/>
              </w:rPr>
            </w:pPr>
          </w:p>
        </w:tc>
      </w:tr>
      <w:tr w:rsidR="0059251C" w14:paraId="1130A763" w14:textId="77777777" w:rsidTr="003F4026">
        <w:trPr>
          <w:cantSplit/>
        </w:trPr>
        <w:tc>
          <w:tcPr>
            <w:tcW w:w="7755" w:type="dxa"/>
            <w:tcMar>
              <w:left w:w="115" w:type="dxa"/>
              <w:bottom w:w="0" w:type="dxa"/>
              <w:right w:w="115" w:type="dxa"/>
            </w:tcMar>
          </w:tcPr>
          <w:p w14:paraId="017D17F9" w14:textId="50689EAF" w:rsidR="0059251C" w:rsidRDefault="00AA73E9">
            <w:pPr>
              <w:numPr>
                <w:ilvl w:val="0"/>
                <w:numId w:val="14"/>
              </w:numPr>
            </w:pPr>
            <w:r>
              <w:lastRenderedPageBreak/>
              <w:t>Examine the master games</w:t>
            </w:r>
            <w:r w:rsidRPr="00A13973">
              <w:t xml:space="preserve"> summary</w:t>
            </w:r>
            <w:r>
              <w:t xml:space="preserve"> and any other applicable documents, to ensure that any free play and promotional items, including drawings and giveaway programs, were properly handled with respect to the computation of gross revenue.  </w:t>
            </w:r>
            <w:r w:rsidR="0059251C">
              <w:rPr>
                <w:b/>
                <w:bCs/>
              </w:rPr>
              <w:t>(Revenue)</w:t>
            </w:r>
          </w:p>
          <w:p w14:paraId="370D4C0D" w14:textId="77777777" w:rsidR="0059251C" w:rsidRDefault="0059251C">
            <w:pPr>
              <w:pStyle w:val="Header"/>
              <w:tabs>
                <w:tab w:val="clear" w:pos="4320"/>
                <w:tab w:val="clear" w:pos="8640"/>
              </w:tabs>
            </w:pPr>
          </w:p>
        </w:tc>
        <w:tc>
          <w:tcPr>
            <w:tcW w:w="1163" w:type="dxa"/>
            <w:shd w:val="clear" w:color="auto" w:fill="auto"/>
          </w:tcPr>
          <w:p w14:paraId="142B6917" w14:textId="77777777" w:rsidR="0059251C" w:rsidRDefault="0059251C">
            <w:pPr>
              <w:rPr>
                <w:rFonts w:ascii="Arial" w:hAnsi="Arial" w:cs="Arial"/>
              </w:rPr>
            </w:pPr>
          </w:p>
        </w:tc>
        <w:tc>
          <w:tcPr>
            <w:tcW w:w="1872" w:type="dxa"/>
            <w:shd w:val="clear" w:color="auto" w:fill="auto"/>
          </w:tcPr>
          <w:p w14:paraId="606B588B" w14:textId="77777777" w:rsidR="0059251C" w:rsidRDefault="0059251C">
            <w:pPr>
              <w:rPr>
                <w:rFonts w:ascii="Arial" w:hAnsi="Arial" w:cs="Arial"/>
              </w:rPr>
            </w:pPr>
          </w:p>
        </w:tc>
      </w:tr>
      <w:tr w:rsidR="00BB7DB1" w14:paraId="7101488C" w14:textId="77777777" w:rsidTr="003F4026">
        <w:trPr>
          <w:cantSplit/>
        </w:trPr>
        <w:tc>
          <w:tcPr>
            <w:tcW w:w="7755" w:type="dxa"/>
            <w:tcMar>
              <w:left w:w="115" w:type="dxa"/>
              <w:bottom w:w="0" w:type="dxa"/>
              <w:right w:w="115" w:type="dxa"/>
            </w:tcMar>
          </w:tcPr>
          <w:p w14:paraId="21F3DC23" w14:textId="77777777" w:rsidR="00BB7DB1" w:rsidRDefault="00BB7DB1" w:rsidP="00BB7DB1">
            <w:pPr>
              <w:pStyle w:val="List"/>
              <w:numPr>
                <w:ilvl w:val="0"/>
                <w:numId w:val="14"/>
              </w:numPr>
            </w:pPr>
            <w:r>
              <w:t xml:space="preserve">For the month in which a test day was selected, for one test day in which a contest/tournament was conducted, review the appropriate documentation including the monthly contest/tournament log summarizing total entry fees/rebuys and total payouts (cash and non-cash prizes) for the day.  Determine that entry fees/rebuys and payouts are included in the monthly contest/tournament log.  </w:t>
            </w:r>
          </w:p>
          <w:p w14:paraId="2350FFC3" w14:textId="77777777" w:rsidR="00BB7DB1" w:rsidRDefault="00BB7DB1" w:rsidP="00BB7DB1">
            <w:pPr>
              <w:pStyle w:val="List"/>
              <w:rPr>
                <w:b/>
                <w:bCs/>
              </w:rPr>
            </w:pPr>
          </w:p>
          <w:p w14:paraId="77094080" w14:textId="77777777" w:rsidR="00BB7DB1" w:rsidRDefault="00BB7DB1" w:rsidP="00BB7DB1">
            <w:pPr>
              <w:ind w:left="360"/>
            </w:pPr>
            <w:r>
              <w:rPr>
                <w:b/>
                <w:bCs/>
              </w:rPr>
              <w:t xml:space="preserve">Note:  </w:t>
            </w:r>
            <w:r>
              <w:t xml:space="preserve">If no contests/tournaments were offered in the month selected, then choose another month in which a contest/tournament was conducted.  </w:t>
            </w:r>
            <w:r w:rsidRPr="00C01E22">
              <w:t>When after reviewing other months and no such activity is noted, it is acceptable to indicate that there were no contest/tournament activity noted in the time periods reviewed and then also indicate the results of an inquiry of such activity.</w:t>
            </w:r>
          </w:p>
          <w:p w14:paraId="51515D3B" w14:textId="6C6197CB" w:rsidR="00A86C16" w:rsidRDefault="00A86C16" w:rsidP="00BB7DB1">
            <w:pPr>
              <w:ind w:left="360"/>
            </w:pPr>
          </w:p>
        </w:tc>
        <w:tc>
          <w:tcPr>
            <w:tcW w:w="1163" w:type="dxa"/>
            <w:shd w:val="clear" w:color="auto" w:fill="auto"/>
          </w:tcPr>
          <w:p w14:paraId="397293D3" w14:textId="77777777" w:rsidR="00BB7DB1" w:rsidRDefault="00BB7DB1">
            <w:pPr>
              <w:rPr>
                <w:rFonts w:ascii="Arial" w:hAnsi="Arial" w:cs="Arial"/>
              </w:rPr>
            </w:pPr>
          </w:p>
        </w:tc>
        <w:tc>
          <w:tcPr>
            <w:tcW w:w="1872" w:type="dxa"/>
            <w:shd w:val="clear" w:color="auto" w:fill="auto"/>
          </w:tcPr>
          <w:p w14:paraId="7B9DD500" w14:textId="77777777" w:rsidR="00BB7DB1" w:rsidRDefault="00BB7DB1">
            <w:pPr>
              <w:rPr>
                <w:rFonts w:ascii="Arial" w:hAnsi="Arial" w:cs="Arial"/>
              </w:rPr>
            </w:pPr>
          </w:p>
        </w:tc>
      </w:tr>
      <w:tr w:rsidR="00BB7DB1" w14:paraId="2FDFECE5" w14:textId="77777777" w:rsidTr="003F4026">
        <w:trPr>
          <w:cantSplit/>
        </w:trPr>
        <w:tc>
          <w:tcPr>
            <w:tcW w:w="7755" w:type="dxa"/>
            <w:tcMar>
              <w:left w:w="115" w:type="dxa"/>
              <w:bottom w:w="144" w:type="dxa"/>
              <w:right w:w="115" w:type="dxa"/>
            </w:tcMar>
          </w:tcPr>
          <w:p w14:paraId="632F75C4" w14:textId="77777777" w:rsidR="00BB7DB1" w:rsidRPr="00723076" w:rsidRDefault="00BB7DB1" w:rsidP="00BB7DB1">
            <w:pPr>
              <w:numPr>
                <w:ilvl w:val="0"/>
                <w:numId w:val="14"/>
              </w:numPr>
            </w:pPr>
            <w:r>
              <w:t xml:space="preserve">For the test day in the previous procedure, verify that revenue from contests/tournaments were properly calculated for each event.  Foot the revenue for each event in the month to determine that contest/tournament revenue was properly reported on the NGC tax return.  </w:t>
            </w:r>
            <w:r w:rsidRPr="00032C9A">
              <w:rPr>
                <w:b/>
              </w:rPr>
              <w:t>NRS</w:t>
            </w:r>
            <w:r>
              <w:rPr>
                <w:b/>
              </w:rPr>
              <w:t xml:space="preserve"> 463.0161 and </w:t>
            </w:r>
            <w:r w:rsidRPr="00877B05">
              <w:rPr>
                <w:b/>
              </w:rPr>
              <w:t>Regulation</w:t>
            </w:r>
            <w:r>
              <w:rPr>
                <w:b/>
              </w:rPr>
              <w:t xml:space="preserve"> 6.110(12)  (Revenue)</w:t>
            </w:r>
          </w:p>
          <w:p w14:paraId="2EC5CFEC" w14:textId="77777777" w:rsidR="00BB7DB1" w:rsidRPr="00723076" w:rsidRDefault="00BB7DB1" w:rsidP="00BB7DB1">
            <w:pPr>
              <w:ind w:left="360"/>
            </w:pPr>
          </w:p>
          <w:p w14:paraId="52C6D1AC" w14:textId="75C663E7" w:rsidR="00BB7DB1" w:rsidRDefault="00BB7DB1" w:rsidP="00BB7DB1">
            <w:pPr>
              <w:ind w:left="360"/>
            </w:pPr>
            <w:r w:rsidRPr="005E55CC">
              <w:rPr>
                <w:b/>
              </w:rPr>
              <w:t>Note:</w:t>
            </w:r>
            <w:r>
              <w:rPr>
                <w:b/>
              </w:rPr>
              <w:t xml:space="preserve"> </w:t>
            </w:r>
            <w:r>
              <w:t xml:space="preserve"> The payouts paid out to participants must not be deducted from gross revenue in an amount that exceeds the entry fees.  Additionally, a licensee shall calculate and report gross revenue on an independent, contest-by-contest or tournament-by tournament, basis and only upon the conclusion of the contest or tournament.</w:t>
            </w:r>
          </w:p>
        </w:tc>
        <w:tc>
          <w:tcPr>
            <w:tcW w:w="1163" w:type="dxa"/>
          </w:tcPr>
          <w:p w14:paraId="30669E8F" w14:textId="77777777" w:rsidR="00BB7DB1" w:rsidRDefault="00BB7DB1">
            <w:pPr>
              <w:rPr>
                <w:rFonts w:ascii="Arial" w:hAnsi="Arial" w:cs="Arial"/>
              </w:rPr>
            </w:pPr>
          </w:p>
        </w:tc>
        <w:tc>
          <w:tcPr>
            <w:tcW w:w="1872" w:type="dxa"/>
          </w:tcPr>
          <w:p w14:paraId="6BDD9D14" w14:textId="77777777" w:rsidR="00BB7DB1" w:rsidRDefault="00BB7DB1">
            <w:pPr>
              <w:rPr>
                <w:rFonts w:ascii="Arial" w:hAnsi="Arial" w:cs="Arial"/>
              </w:rPr>
            </w:pPr>
          </w:p>
        </w:tc>
      </w:tr>
      <w:tr w:rsidR="0059251C" w14:paraId="1E847C14" w14:textId="77777777" w:rsidTr="003F4026">
        <w:trPr>
          <w:cantSplit/>
        </w:trPr>
        <w:tc>
          <w:tcPr>
            <w:tcW w:w="7755" w:type="dxa"/>
            <w:tcMar>
              <w:left w:w="115" w:type="dxa"/>
              <w:bottom w:w="144" w:type="dxa"/>
              <w:right w:w="115" w:type="dxa"/>
            </w:tcMar>
          </w:tcPr>
          <w:p w14:paraId="1292411B" w14:textId="77777777" w:rsidR="0059251C" w:rsidRDefault="0059251C">
            <w:pPr>
              <w:numPr>
                <w:ilvl w:val="0"/>
                <w:numId w:val="14"/>
              </w:numPr>
            </w:pPr>
            <w:r>
              <w:t xml:space="preserve">Trace the cash drop on the master games summary, less any transfers, if applicable, to the casino cage accountability or cash summary sheets.  </w:t>
            </w:r>
            <w:r>
              <w:rPr>
                <w:b/>
                <w:bCs/>
              </w:rPr>
              <w:t>(Asset Protection)</w:t>
            </w:r>
          </w:p>
        </w:tc>
        <w:tc>
          <w:tcPr>
            <w:tcW w:w="1163" w:type="dxa"/>
          </w:tcPr>
          <w:p w14:paraId="0FD86EDF" w14:textId="77777777" w:rsidR="0059251C" w:rsidRDefault="0059251C">
            <w:pPr>
              <w:rPr>
                <w:rFonts w:ascii="Arial" w:hAnsi="Arial" w:cs="Arial"/>
              </w:rPr>
            </w:pPr>
          </w:p>
        </w:tc>
        <w:tc>
          <w:tcPr>
            <w:tcW w:w="1872" w:type="dxa"/>
          </w:tcPr>
          <w:p w14:paraId="7D220E1D" w14:textId="77777777" w:rsidR="0059251C" w:rsidRDefault="0059251C">
            <w:pPr>
              <w:rPr>
                <w:rFonts w:ascii="Arial" w:hAnsi="Arial" w:cs="Arial"/>
              </w:rPr>
            </w:pPr>
          </w:p>
        </w:tc>
      </w:tr>
      <w:tr w:rsidR="0059251C" w14:paraId="6042D1E2" w14:textId="77777777" w:rsidTr="003F4026">
        <w:trPr>
          <w:cantSplit/>
        </w:trPr>
        <w:tc>
          <w:tcPr>
            <w:tcW w:w="7755" w:type="dxa"/>
            <w:tcMar>
              <w:left w:w="115" w:type="dxa"/>
              <w:bottom w:w="144" w:type="dxa"/>
              <w:right w:w="115" w:type="dxa"/>
            </w:tcMar>
          </w:tcPr>
          <w:p w14:paraId="5B98C363" w14:textId="77777777" w:rsidR="0059251C" w:rsidRDefault="0059251C">
            <w:pPr>
              <w:numPr>
                <w:ilvl w:val="0"/>
                <w:numId w:val="14"/>
              </w:numPr>
            </w:pPr>
            <w:r>
              <w:t>Trace the marker credit column total (includes mass marker transfers, if applicable) on the master games summary to the cage/vault accountability.</w:t>
            </w:r>
          </w:p>
        </w:tc>
        <w:tc>
          <w:tcPr>
            <w:tcW w:w="1163" w:type="dxa"/>
          </w:tcPr>
          <w:p w14:paraId="0E8C88AE" w14:textId="77777777" w:rsidR="0059251C" w:rsidRDefault="0059251C">
            <w:pPr>
              <w:rPr>
                <w:rFonts w:ascii="Arial" w:hAnsi="Arial" w:cs="Arial"/>
              </w:rPr>
            </w:pPr>
          </w:p>
        </w:tc>
        <w:tc>
          <w:tcPr>
            <w:tcW w:w="1872" w:type="dxa"/>
          </w:tcPr>
          <w:p w14:paraId="40643B46" w14:textId="77777777" w:rsidR="0059251C" w:rsidRDefault="0059251C">
            <w:pPr>
              <w:rPr>
                <w:rFonts w:ascii="Arial" w:hAnsi="Arial" w:cs="Arial"/>
              </w:rPr>
            </w:pPr>
          </w:p>
        </w:tc>
      </w:tr>
      <w:tr w:rsidR="0059251C" w14:paraId="56D9CD00" w14:textId="77777777" w:rsidTr="003F4026">
        <w:trPr>
          <w:cantSplit/>
        </w:trPr>
        <w:tc>
          <w:tcPr>
            <w:tcW w:w="7755" w:type="dxa"/>
            <w:tcMar>
              <w:left w:w="115" w:type="dxa"/>
              <w:bottom w:w="144" w:type="dxa"/>
              <w:right w:w="115" w:type="dxa"/>
            </w:tcMar>
          </w:tcPr>
          <w:p w14:paraId="7E7AA2B0" w14:textId="77777777" w:rsidR="0059251C" w:rsidRDefault="0059251C">
            <w:pPr>
              <w:numPr>
                <w:ilvl w:val="0"/>
                <w:numId w:val="14"/>
              </w:numPr>
            </w:pPr>
            <w:r>
              <w:t>Trace all of the employees’ names whose signatures appear on the count documentation to the quarterly count personnel list required by Regulation 6.130.</w:t>
            </w:r>
          </w:p>
          <w:p w14:paraId="41C0471A" w14:textId="77777777" w:rsidR="0059251C" w:rsidRDefault="0059251C"/>
          <w:p w14:paraId="08749261" w14:textId="77777777" w:rsidR="0059251C" w:rsidRDefault="0059251C">
            <w:pPr>
              <w:ind w:left="353"/>
              <w:rPr>
                <w:b/>
                <w:bCs/>
              </w:rPr>
            </w:pPr>
            <w:r>
              <w:rPr>
                <w:b/>
                <w:bCs/>
              </w:rPr>
              <w:t xml:space="preserve">Note:  </w:t>
            </w:r>
            <w:r>
              <w:t>If the test day falls in the current quarter and an employee was hired during the current quarter, indicate the date the employee started in the count and complete the step for this employee during the next table games department contact.</w:t>
            </w:r>
          </w:p>
        </w:tc>
        <w:tc>
          <w:tcPr>
            <w:tcW w:w="1163" w:type="dxa"/>
          </w:tcPr>
          <w:p w14:paraId="7B205639" w14:textId="77777777" w:rsidR="0059251C" w:rsidRDefault="0059251C">
            <w:pPr>
              <w:rPr>
                <w:rFonts w:ascii="Arial" w:hAnsi="Arial" w:cs="Arial"/>
              </w:rPr>
            </w:pPr>
          </w:p>
        </w:tc>
        <w:tc>
          <w:tcPr>
            <w:tcW w:w="1872" w:type="dxa"/>
          </w:tcPr>
          <w:p w14:paraId="2298B162" w14:textId="77777777" w:rsidR="0059251C" w:rsidRDefault="0059251C">
            <w:pPr>
              <w:rPr>
                <w:rFonts w:ascii="Arial" w:hAnsi="Arial" w:cs="Arial"/>
              </w:rPr>
            </w:pPr>
          </w:p>
        </w:tc>
      </w:tr>
      <w:tr w:rsidR="0059251C" w14:paraId="08ECB755" w14:textId="77777777" w:rsidTr="003F4026">
        <w:trPr>
          <w:cantSplit/>
        </w:trPr>
        <w:tc>
          <w:tcPr>
            <w:tcW w:w="7755" w:type="dxa"/>
            <w:tcMar>
              <w:left w:w="115" w:type="dxa"/>
              <w:bottom w:w="144" w:type="dxa"/>
              <w:right w:w="115" w:type="dxa"/>
            </w:tcMar>
          </w:tcPr>
          <w:p w14:paraId="7C9A4F04" w14:textId="589C72E5" w:rsidR="0059251C" w:rsidRDefault="0059251C">
            <w:pPr>
              <w:numPr>
                <w:ilvl w:val="0"/>
                <w:numId w:val="14"/>
              </w:numPr>
            </w:pPr>
            <w:r>
              <w:t xml:space="preserve">Trace </w:t>
            </w:r>
            <w:r w:rsidR="00821DC9">
              <w:t>gross revenue</w:t>
            </w:r>
            <w:r>
              <w:t xml:space="preserve"> on the master games summary to the </w:t>
            </w:r>
            <w:r w:rsidR="005B4A66" w:rsidRPr="00C01E22">
              <w:t>table games recap report</w:t>
            </w:r>
            <w:r>
              <w:t xml:space="preserve">.  </w:t>
            </w:r>
            <w:r>
              <w:rPr>
                <w:b/>
                <w:bCs/>
              </w:rPr>
              <w:t>(Revenue)</w:t>
            </w:r>
          </w:p>
        </w:tc>
        <w:tc>
          <w:tcPr>
            <w:tcW w:w="1163" w:type="dxa"/>
          </w:tcPr>
          <w:p w14:paraId="46D63A5F" w14:textId="77777777" w:rsidR="0059251C" w:rsidRDefault="0059251C">
            <w:pPr>
              <w:rPr>
                <w:rFonts w:ascii="Arial" w:hAnsi="Arial" w:cs="Arial"/>
              </w:rPr>
            </w:pPr>
          </w:p>
        </w:tc>
        <w:tc>
          <w:tcPr>
            <w:tcW w:w="1872" w:type="dxa"/>
          </w:tcPr>
          <w:p w14:paraId="238A3A56" w14:textId="77777777" w:rsidR="0059251C" w:rsidRDefault="0059251C">
            <w:pPr>
              <w:rPr>
                <w:rFonts w:ascii="Arial" w:hAnsi="Arial" w:cs="Arial"/>
              </w:rPr>
            </w:pPr>
          </w:p>
        </w:tc>
      </w:tr>
      <w:tr w:rsidR="0059251C" w14:paraId="5C6B6055" w14:textId="77777777" w:rsidTr="003F4026">
        <w:trPr>
          <w:cantSplit/>
        </w:trPr>
        <w:tc>
          <w:tcPr>
            <w:tcW w:w="7755" w:type="dxa"/>
            <w:tcMar>
              <w:left w:w="115" w:type="dxa"/>
              <w:bottom w:w="144" w:type="dxa"/>
              <w:right w:w="115" w:type="dxa"/>
            </w:tcMar>
          </w:tcPr>
          <w:p w14:paraId="7C41F34B" w14:textId="04F0946F" w:rsidR="0059251C" w:rsidRDefault="0059251C">
            <w:pPr>
              <w:numPr>
                <w:ilvl w:val="0"/>
                <w:numId w:val="14"/>
              </w:numPr>
            </w:pPr>
            <w:r>
              <w:lastRenderedPageBreak/>
              <w:t xml:space="preserve">For the month in which a test day was selected, foot the </w:t>
            </w:r>
            <w:r w:rsidR="005B4A66" w:rsidRPr="00C01E22">
              <w:t>daily</w:t>
            </w:r>
            <w:r w:rsidR="005B4A66" w:rsidRPr="005B4A66">
              <w:t xml:space="preserve"> </w:t>
            </w:r>
            <w:r w:rsidR="00821DC9">
              <w:t>gross revenue</w:t>
            </w:r>
            <w:r>
              <w:t xml:space="preserve"> </w:t>
            </w:r>
            <w:r w:rsidR="005B4A66" w:rsidRPr="00C01E22">
              <w:t>amount in the table games recap report and trace the footed total to the month-to-date total in the table games recap report</w:t>
            </w:r>
            <w:r>
              <w:t xml:space="preserve">.  </w:t>
            </w:r>
            <w:r>
              <w:rPr>
                <w:b/>
                <w:bCs/>
              </w:rPr>
              <w:t>(Revenue)</w:t>
            </w:r>
          </w:p>
          <w:p w14:paraId="091F8607" w14:textId="77777777" w:rsidR="0059251C" w:rsidRDefault="0059251C"/>
          <w:p w14:paraId="19655EBC" w14:textId="77777777" w:rsidR="0059251C" w:rsidRDefault="0059251C">
            <w:pPr>
              <w:ind w:left="353"/>
            </w:pPr>
            <w:r>
              <w:rPr>
                <w:b/>
                <w:bCs/>
              </w:rPr>
              <w:t xml:space="preserve">Note:  </w:t>
            </w:r>
            <w:r w:rsidR="00C01E22">
              <w:t xml:space="preserve">If the </w:t>
            </w:r>
            <w:r w:rsidR="00E92F54" w:rsidRPr="00C01E22">
              <w:t>table games recap report</w:t>
            </w:r>
            <w:r w:rsidR="00E92F54">
              <w:t xml:space="preserve"> </w:t>
            </w:r>
            <w:r>
              <w:t>is a computerized document, footing need only be done for one of the two test dates selected for the fiscal year.</w:t>
            </w:r>
          </w:p>
        </w:tc>
        <w:tc>
          <w:tcPr>
            <w:tcW w:w="1163" w:type="dxa"/>
          </w:tcPr>
          <w:p w14:paraId="60F021DE" w14:textId="77777777" w:rsidR="0059251C" w:rsidRDefault="0059251C">
            <w:pPr>
              <w:rPr>
                <w:rFonts w:ascii="Arial" w:hAnsi="Arial" w:cs="Arial"/>
              </w:rPr>
            </w:pPr>
          </w:p>
        </w:tc>
        <w:tc>
          <w:tcPr>
            <w:tcW w:w="1872" w:type="dxa"/>
          </w:tcPr>
          <w:p w14:paraId="77503E1A" w14:textId="77777777" w:rsidR="0059251C" w:rsidRDefault="0059251C">
            <w:pPr>
              <w:rPr>
                <w:rFonts w:ascii="Arial" w:hAnsi="Arial" w:cs="Arial"/>
              </w:rPr>
            </w:pPr>
          </w:p>
        </w:tc>
      </w:tr>
      <w:tr w:rsidR="0059251C" w14:paraId="3B37F281" w14:textId="77777777" w:rsidTr="003F4026">
        <w:trPr>
          <w:cantSplit/>
        </w:trPr>
        <w:tc>
          <w:tcPr>
            <w:tcW w:w="7755" w:type="dxa"/>
            <w:tcMar>
              <w:left w:w="115" w:type="dxa"/>
              <w:bottom w:w="144" w:type="dxa"/>
              <w:right w:w="115" w:type="dxa"/>
            </w:tcMar>
          </w:tcPr>
          <w:p w14:paraId="1E5B8482" w14:textId="1C7B269D" w:rsidR="0059251C" w:rsidRDefault="0059251C">
            <w:pPr>
              <w:numPr>
                <w:ilvl w:val="0"/>
                <w:numId w:val="14"/>
              </w:numPr>
            </w:pPr>
            <w:r>
              <w:t xml:space="preserve">For the month in the previous procedure, trace the </w:t>
            </w:r>
            <w:r w:rsidR="00035900" w:rsidRPr="00C01E22">
              <w:t>month-to-date</w:t>
            </w:r>
            <w:r w:rsidR="00035900">
              <w:t xml:space="preserve"> </w:t>
            </w:r>
            <w:r w:rsidR="00821DC9">
              <w:t>gross revenue</w:t>
            </w:r>
            <w:r>
              <w:t xml:space="preserve"> per the</w:t>
            </w:r>
            <w:r w:rsidR="00035900" w:rsidRPr="00C01E22">
              <w:t xml:space="preserve"> table games recap report</w:t>
            </w:r>
            <w:r>
              <w:t xml:space="preserve"> to the general ledger and monthly NGC tax return.  Examine general ledger accounts for the propriety of any activity that affects reported revenue.  </w:t>
            </w:r>
            <w:r>
              <w:rPr>
                <w:b/>
                <w:bCs/>
              </w:rPr>
              <w:t>(Revenue)</w:t>
            </w:r>
          </w:p>
        </w:tc>
        <w:tc>
          <w:tcPr>
            <w:tcW w:w="1163" w:type="dxa"/>
            <w:tcBorders>
              <w:bottom w:val="single" w:sz="4" w:space="0" w:color="auto"/>
            </w:tcBorders>
          </w:tcPr>
          <w:p w14:paraId="37F72AB8" w14:textId="77777777" w:rsidR="0059251C" w:rsidRDefault="0059251C">
            <w:pPr>
              <w:rPr>
                <w:rFonts w:ascii="Arial" w:hAnsi="Arial" w:cs="Arial"/>
              </w:rPr>
            </w:pPr>
          </w:p>
        </w:tc>
        <w:tc>
          <w:tcPr>
            <w:tcW w:w="1872" w:type="dxa"/>
            <w:tcBorders>
              <w:bottom w:val="single" w:sz="4" w:space="0" w:color="auto"/>
            </w:tcBorders>
          </w:tcPr>
          <w:p w14:paraId="202EB73A" w14:textId="77777777" w:rsidR="0059251C" w:rsidRDefault="0059251C">
            <w:pPr>
              <w:rPr>
                <w:rFonts w:ascii="Arial" w:hAnsi="Arial" w:cs="Arial"/>
              </w:rPr>
            </w:pPr>
          </w:p>
        </w:tc>
      </w:tr>
      <w:tr w:rsidR="0059251C" w14:paraId="585DBC17" w14:textId="77777777" w:rsidTr="003F4026">
        <w:trPr>
          <w:cantSplit/>
        </w:trPr>
        <w:tc>
          <w:tcPr>
            <w:tcW w:w="7755" w:type="dxa"/>
            <w:tcMar>
              <w:left w:w="115" w:type="dxa"/>
              <w:bottom w:w="144" w:type="dxa"/>
              <w:right w:w="115" w:type="dxa"/>
            </w:tcMar>
          </w:tcPr>
          <w:p w14:paraId="6C5F0ECF" w14:textId="7E83E321" w:rsidR="0059251C" w:rsidRDefault="0059251C">
            <w:pPr>
              <w:numPr>
                <w:ilvl w:val="0"/>
                <w:numId w:val="14"/>
              </w:numPr>
            </w:pPr>
            <w:r>
              <w:t>For the monthly NGC tax return reviewed in the previous step, use the appropriate supporting documentation</w:t>
            </w:r>
            <w:r w:rsidR="00512470">
              <w:t>, including those documents used for wagering accounts,</w:t>
            </w:r>
            <w:r>
              <w:t xml:space="preserve"> to verify other components of table games on the NGC tax return (excluding n</w:t>
            </w:r>
            <w:r w:rsidR="00AA73E9">
              <w:t>umber</w:t>
            </w:r>
            <w:r>
              <w:t xml:space="preserve"> of units).</w:t>
            </w:r>
          </w:p>
        </w:tc>
        <w:tc>
          <w:tcPr>
            <w:tcW w:w="1163" w:type="dxa"/>
            <w:tcBorders>
              <w:bottom w:val="single" w:sz="4" w:space="0" w:color="auto"/>
            </w:tcBorders>
          </w:tcPr>
          <w:p w14:paraId="15C81423" w14:textId="77777777" w:rsidR="0059251C" w:rsidRDefault="0059251C">
            <w:pPr>
              <w:rPr>
                <w:rFonts w:ascii="Arial" w:hAnsi="Arial" w:cs="Arial"/>
              </w:rPr>
            </w:pPr>
          </w:p>
        </w:tc>
        <w:tc>
          <w:tcPr>
            <w:tcW w:w="1872" w:type="dxa"/>
            <w:tcBorders>
              <w:bottom w:val="single" w:sz="4" w:space="0" w:color="auto"/>
            </w:tcBorders>
          </w:tcPr>
          <w:p w14:paraId="37B93CC9" w14:textId="77777777" w:rsidR="0059251C" w:rsidRDefault="0059251C">
            <w:pPr>
              <w:rPr>
                <w:rFonts w:ascii="Arial" w:hAnsi="Arial" w:cs="Arial"/>
              </w:rPr>
            </w:pPr>
          </w:p>
        </w:tc>
      </w:tr>
      <w:tr w:rsidR="0059313F" w14:paraId="574F8404" w14:textId="77777777" w:rsidTr="003F4026">
        <w:trPr>
          <w:cantSplit/>
        </w:trPr>
        <w:tc>
          <w:tcPr>
            <w:tcW w:w="7755" w:type="dxa"/>
            <w:tcMar>
              <w:left w:w="115" w:type="dxa"/>
              <w:bottom w:w="144" w:type="dxa"/>
              <w:right w:w="115" w:type="dxa"/>
            </w:tcMar>
          </w:tcPr>
          <w:p w14:paraId="38453FFD" w14:textId="77777777" w:rsidR="0059313F" w:rsidRPr="000145F0" w:rsidRDefault="0059313F" w:rsidP="0059313F">
            <w:pPr>
              <w:numPr>
                <w:ilvl w:val="0"/>
                <w:numId w:val="36"/>
              </w:numPr>
            </w:pPr>
            <w:r>
              <w:t xml:space="preserve">For the month in which cross-gaming area transactions occurred verify that revenue was properly reported for both gaming areas.  </w:t>
            </w:r>
            <w:r w:rsidRPr="000145F0">
              <w:rPr>
                <w:b/>
              </w:rPr>
              <w:t>(Revenue)</w:t>
            </w:r>
          </w:p>
          <w:p w14:paraId="53B49B96" w14:textId="77777777" w:rsidR="0059313F" w:rsidRDefault="0059313F" w:rsidP="0059313F"/>
          <w:p w14:paraId="3F59CD06" w14:textId="52C198B1" w:rsidR="0059313F" w:rsidRDefault="0059313F" w:rsidP="0059313F">
            <w:pPr>
              <w:ind w:left="360"/>
            </w:pPr>
            <w:r w:rsidRPr="000145F0">
              <w:rPr>
                <w:b/>
              </w:rPr>
              <w:t>Note:</w:t>
            </w:r>
            <w:r>
              <w:rPr>
                <w:b/>
              </w:rPr>
              <w:t xml:space="preserve"> </w:t>
            </w:r>
            <w:r w:rsidRPr="000145F0">
              <w:t>Cross-gaming area transaction may occur through mobile</w:t>
            </w:r>
            <w:r>
              <w:t xml:space="preserve"> wallet/wagering instruments/vouchers.</w:t>
            </w:r>
          </w:p>
        </w:tc>
        <w:tc>
          <w:tcPr>
            <w:tcW w:w="1163" w:type="dxa"/>
            <w:tcBorders>
              <w:bottom w:val="single" w:sz="4" w:space="0" w:color="auto"/>
            </w:tcBorders>
          </w:tcPr>
          <w:p w14:paraId="731B3F16" w14:textId="77777777" w:rsidR="0059313F" w:rsidRDefault="0059313F">
            <w:pPr>
              <w:rPr>
                <w:rFonts w:ascii="Arial" w:hAnsi="Arial" w:cs="Arial"/>
              </w:rPr>
            </w:pPr>
          </w:p>
        </w:tc>
        <w:tc>
          <w:tcPr>
            <w:tcW w:w="1872" w:type="dxa"/>
            <w:tcBorders>
              <w:bottom w:val="single" w:sz="4" w:space="0" w:color="auto"/>
            </w:tcBorders>
          </w:tcPr>
          <w:p w14:paraId="77501C03" w14:textId="77777777" w:rsidR="0059313F" w:rsidRDefault="0059313F">
            <w:pPr>
              <w:rPr>
                <w:rFonts w:ascii="Arial" w:hAnsi="Arial" w:cs="Arial"/>
              </w:rPr>
            </w:pPr>
          </w:p>
        </w:tc>
      </w:tr>
      <w:tr w:rsidR="0059313F" w14:paraId="7EEB43B3" w14:textId="77777777" w:rsidTr="003F4026">
        <w:trPr>
          <w:cantSplit/>
        </w:trPr>
        <w:tc>
          <w:tcPr>
            <w:tcW w:w="7755" w:type="dxa"/>
            <w:tcMar>
              <w:left w:w="115" w:type="dxa"/>
              <w:bottom w:w="144" w:type="dxa"/>
              <w:right w:w="115" w:type="dxa"/>
            </w:tcMar>
          </w:tcPr>
          <w:p w14:paraId="3166D4E0" w14:textId="77777777" w:rsidR="0059313F" w:rsidRPr="000C2AFD" w:rsidRDefault="0059313F" w:rsidP="0059313F">
            <w:pPr>
              <w:numPr>
                <w:ilvl w:val="0"/>
                <w:numId w:val="36"/>
              </w:numPr>
            </w:pPr>
            <w:r>
              <w:t xml:space="preserve">For the month in which cross-property transactions occurred, verify that revenue was properly reported for applicable gaming areas.  </w:t>
            </w:r>
            <w:r w:rsidRPr="000C2AFD">
              <w:rPr>
                <w:b/>
              </w:rPr>
              <w:t>(Revenue)</w:t>
            </w:r>
          </w:p>
          <w:p w14:paraId="1EE69DD2" w14:textId="77777777" w:rsidR="0059313F" w:rsidRDefault="0059313F" w:rsidP="0059313F">
            <w:pPr>
              <w:ind w:left="360"/>
            </w:pPr>
          </w:p>
        </w:tc>
        <w:tc>
          <w:tcPr>
            <w:tcW w:w="1163" w:type="dxa"/>
            <w:tcBorders>
              <w:bottom w:val="single" w:sz="4" w:space="0" w:color="auto"/>
            </w:tcBorders>
          </w:tcPr>
          <w:p w14:paraId="104136DE" w14:textId="77777777" w:rsidR="0059313F" w:rsidRDefault="0059313F">
            <w:pPr>
              <w:rPr>
                <w:rFonts w:ascii="Arial" w:hAnsi="Arial" w:cs="Arial"/>
              </w:rPr>
            </w:pPr>
          </w:p>
        </w:tc>
        <w:tc>
          <w:tcPr>
            <w:tcW w:w="1872" w:type="dxa"/>
            <w:tcBorders>
              <w:bottom w:val="single" w:sz="4" w:space="0" w:color="auto"/>
            </w:tcBorders>
          </w:tcPr>
          <w:p w14:paraId="30E29141" w14:textId="77777777" w:rsidR="0059313F" w:rsidRDefault="0059313F">
            <w:pPr>
              <w:rPr>
                <w:rFonts w:ascii="Arial" w:hAnsi="Arial" w:cs="Arial"/>
              </w:rPr>
            </w:pPr>
          </w:p>
        </w:tc>
      </w:tr>
      <w:tr w:rsidR="0059313F" w14:paraId="3CBFD5B1" w14:textId="77777777" w:rsidTr="003F4026">
        <w:trPr>
          <w:cantSplit/>
        </w:trPr>
        <w:tc>
          <w:tcPr>
            <w:tcW w:w="7755" w:type="dxa"/>
            <w:tcMar>
              <w:left w:w="115" w:type="dxa"/>
              <w:bottom w:w="144" w:type="dxa"/>
              <w:right w:w="115" w:type="dxa"/>
            </w:tcMar>
          </w:tcPr>
          <w:p w14:paraId="1FFF1B1F" w14:textId="6D8000AA" w:rsidR="0059313F" w:rsidRDefault="0059313F" w:rsidP="0059313F">
            <w:pPr>
              <w:numPr>
                <w:ilvl w:val="0"/>
                <w:numId w:val="36"/>
              </w:numPr>
            </w:pPr>
            <w:r>
              <w:t>For the month in which wagers attributable to multiple gaming areas (blended game with live dealer) occurred</w:t>
            </w:r>
            <w:r w:rsidR="006072B8">
              <w:t>,</w:t>
            </w:r>
            <w:r>
              <w:t xml:space="preserve"> verify that revenue was properly reported for applicable gaming areas. </w:t>
            </w:r>
            <w:r w:rsidRPr="000C2AFD">
              <w:rPr>
                <w:b/>
              </w:rPr>
              <w:t>(Revenue)</w:t>
            </w:r>
          </w:p>
          <w:p w14:paraId="18C03980" w14:textId="77777777" w:rsidR="0059313F" w:rsidRDefault="0059313F" w:rsidP="0059313F"/>
          <w:p w14:paraId="4D2973B6" w14:textId="216A90AF" w:rsidR="0059313F" w:rsidRDefault="0059313F" w:rsidP="0059313F">
            <w:pPr>
              <w:ind w:left="360"/>
            </w:pPr>
            <w:r w:rsidRPr="000C2AFD">
              <w:rPr>
                <w:b/>
              </w:rPr>
              <w:t>Example:</w:t>
            </w:r>
            <w:r>
              <w:t xml:space="preserve"> Slots connected to table games with live dealer</w:t>
            </w:r>
          </w:p>
        </w:tc>
        <w:tc>
          <w:tcPr>
            <w:tcW w:w="1163" w:type="dxa"/>
            <w:tcBorders>
              <w:bottom w:val="single" w:sz="4" w:space="0" w:color="auto"/>
            </w:tcBorders>
          </w:tcPr>
          <w:p w14:paraId="4A48E755" w14:textId="77777777" w:rsidR="0059313F" w:rsidRDefault="0059313F">
            <w:pPr>
              <w:rPr>
                <w:rFonts w:ascii="Arial" w:hAnsi="Arial" w:cs="Arial"/>
              </w:rPr>
            </w:pPr>
          </w:p>
        </w:tc>
        <w:tc>
          <w:tcPr>
            <w:tcW w:w="1872" w:type="dxa"/>
            <w:tcBorders>
              <w:bottom w:val="single" w:sz="4" w:space="0" w:color="auto"/>
            </w:tcBorders>
          </w:tcPr>
          <w:p w14:paraId="69DF7607" w14:textId="77777777" w:rsidR="0059313F" w:rsidRDefault="0059313F">
            <w:pPr>
              <w:rPr>
                <w:rFonts w:ascii="Arial" w:hAnsi="Arial" w:cs="Arial"/>
              </w:rPr>
            </w:pPr>
          </w:p>
        </w:tc>
      </w:tr>
      <w:tr w:rsidR="006072B8" w14:paraId="5BC90F3B" w14:textId="77777777" w:rsidTr="003F4026">
        <w:trPr>
          <w:cantSplit/>
        </w:trPr>
        <w:tc>
          <w:tcPr>
            <w:tcW w:w="7755" w:type="dxa"/>
            <w:tcMar>
              <w:left w:w="115" w:type="dxa"/>
              <w:bottom w:w="144" w:type="dxa"/>
              <w:right w:w="115" w:type="dxa"/>
            </w:tcMar>
          </w:tcPr>
          <w:p w14:paraId="653430CE" w14:textId="246E0FC8" w:rsidR="006072B8" w:rsidRDefault="006072B8" w:rsidP="0059313F">
            <w:pPr>
              <w:numPr>
                <w:ilvl w:val="0"/>
                <w:numId w:val="37"/>
              </w:numPr>
            </w:pPr>
            <w:r>
              <w:t xml:space="preserve">For the month in which a test day was selected, ensure the correct dollar amount of expired wagering instruments was included in the computation of revenue on the NGC tax returns.  </w:t>
            </w:r>
            <w:r w:rsidRPr="00723076">
              <w:rPr>
                <w:b/>
              </w:rPr>
              <w:t>(Revenue)</w:t>
            </w:r>
          </w:p>
        </w:tc>
        <w:tc>
          <w:tcPr>
            <w:tcW w:w="1163" w:type="dxa"/>
            <w:tcBorders>
              <w:bottom w:val="single" w:sz="4" w:space="0" w:color="auto"/>
            </w:tcBorders>
          </w:tcPr>
          <w:p w14:paraId="1E413EEE" w14:textId="77777777" w:rsidR="006072B8" w:rsidRDefault="006072B8">
            <w:pPr>
              <w:rPr>
                <w:rFonts w:ascii="Arial" w:hAnsi="Arial" w:cs="Arial"/>
              </w:rPr>
            </w:pPr>
          </w:p>
        </w:tc>
        <w:tc>
          <w:tcPr>
            <w:tcW w:w="1872" w:type="dxa"/>
            <w:tcBorders>
              <w:bottom w:val="single" w:sz="4" w:space="0" w:color="auto"/>
            </w:tcBorders>
          </w:tcPr>
          <w:p w14:paraId="4818001C" w14:textId="77777777" w:rsidR="006072B8" w:rsidRDefault="006072B8">
            <w:pPr>
              <w:rPr>
                <w:rFonts w:ascii="Arial" w:hAnsi="Arial" w:cs="Arial"/>
              </w:rPr>
            </w:pPr>
          </w:p>
        </w:tc>
      </w:tr>
      <w:tr w:rsidR="0059251C" w14:paraId="21141C23" w14:textId="77777777" w:rsidTr="003F4026">
        <w:trPr>
          <w:cantSplit/>
        </w:trPr>
        <w:tc>
          <w:tcPr>
            <w:tcW w:w="7755" w:type="dxa"/>
            <w:tcMar>
              <w:left w:w="115" w:type="dxa"/>
              <w:bottom w:w="144" w:type="dxa"/>
              <w:right w:w="115" w:type="dxa"/>
            </w:tcMar>
          </w:tcPr>
          <w:p w14:paraId="1F05ACBA" w14:textId="24AD7747" w:rsidR="0059251C" w:rsidRDefault="0059251C" w:rsidP="0059313F">
            <w:pPr>
              <w:numPr>
                <w:ilvl w:val="0"/>
                <w:numId w:val="37"/>
              </w:numPr>
            </w:pPr>
            <w:r>
              <w:t xml:space="preserve">For the same month reviewed in the previous procedures, use the appropriate supporting documentation and perform calculations, if necessary, to verify the accuracy of the table games statistical analysis report required by </w:t>
            </w:r>
            <w:r>
              <w:rPr>
                <w:b/>
                <w:bCs/>
              </w:rPr>
              <w:t>Table Games MICS #</w:t>
            </w:r>
            <w:r w:rsidR="009F650A">
              <w:rPr>
                <w:b/>
                <w:bCs/>
              </w:rPr>
              <w:t>168</w:t>
            </w:r>
            <w:r w:rsidR="00035900">
              <w:rPr>
                <w:bCs/>
              </w:rPr>
              <w:t>.</w:t>
            </w:r>
          </w:p>
        </w:tc>
        <w:tc>
          <w:tcPr>
            <w:tcW w:w="1163" w:type="dxa"/>
            <w:tcBorders>
              <w:bottom w:val="single" w:sz="4" w:space="0" w:color="auto"/>
            </w:tcBorders>
          </w:tcPr>
          <w:p w14:paraId="37C02467" w14:textId="77777777" w:rsidR="0059251C" w:rsidRDefault="0059251C">
            <w:pPr>
              <w:rPr>
                <w:rFonts w:ascii="Arial" w:hAnsi="Arial" w:cs="Arial"/>
              </w:rPr>
            </w:pPr>
          </w:p>
        </w:tc>
        <w:tc>
          <w:tcPr>
            <w:tcW w:w="1872" w:type="dxa"/>
            <w:tcBorders>
              <w:bottom w:val="single" w:sz="4" w:space="0" w:color="auto"/>
            </w:tcBorders>
          </w:tcPr>
          <w:p w14:paraId="61414C2C" w14:textId="77777777" w:rsidR="0059251C" w:rsidRDefault="0059251C">
            <w:pPr>
              <w:rPr>
                <w:rFonts w:ascii="Arial" w:hAnsi="Arial" w:cs="Arial"/>
              </w:rPr>
            </w:pPr>
          </w:p>
        </w:tc>
      </w:tr>
      <w:tr w:rsidR="0059251C" w14:paraId="591E2F5A" w14:textId="77777777" w:rsidTr="003F4026">
        <w:trPr>
          <w:cantSplit/>
        </w:trPr>
        <w:tc>
          <w:tcPr>
            <w:tcW w:w="7755" w:type="dxa"/>
            <w:tcMar>
              <w:left w:w="115" w:type="dxa"/>
              <w:bottom w:w="144" w:type="dxa"/>
              <w:right w:w="115" w:type="dxa"/>
            </w:tcMar>
          </w:tcPr>
          <w:p w14:paraId="1B8830A0" w14:textId="77777777" w:rsidR="0059251C" w:rsidRDefault="0059251C" w:rsidP="0059313F">
            <w:pPr>
              <w:numPr>
                <w:ilvl w:val="0"/>
                <w:numId w:val="37"/>
              </w:numPr>
            </w:pPr>
            <w:r>
              <w:lastRenderedPageBreak/>
              <w:t xml:space="preserve">If a computer is used to generate table games documentation, examine the system exception report </w:t>
            </w:r>
            <w:r w:rsidR="0035498A" w:rsidRPr="00C01E22">
              <w:t>for all computerized table games systems (e.g., fill/credit systems, marker systems)</w:t>
            </w:r>
            <w:r w:rsidR="0035498A">
              <w:rPr>
                <w:u w:val="single"/>
              </w:rPr>
              <w:t xml:space="preserve"> </w:t>
            </w:r>
            <w:r>
              <w:t xml:space="preserve">for propriety of </w:t>
            </w:r>
            <w:r w:rsidR="0035498A" w:rsidRPr="00C01E22">
              <w:t>transactions and unusual occurrences.  The review should include, but is not limited to, void authorizations</w:t>
            </w:r>
            <w:r>
              <w:t xml:space="preserve">.  </w:t>
            </w:r>
            <w:r>
              <w:rPr>
                <w:b/>
                <w:bCs/>
              </w:rPr>
              <w:t>(Asset Protection)</w:t>
            </w:r>
          </w:p>
          <w:p w14:paraId="52BE2FA8" w14:textId="77777777" w:rsidR="0059251C" w:rsidRPr="003F4026" w:rsidRDefault="0059251C">
            <w:pPr>
              <w:rPr>
                <w:b/>
                <w:bCs/>
              </w:rPr>
            </w:pPr>
          </w:p>
          <w:p w14:paraId="65372F73" w14:textId="77777777" w:rsidR="0059251C" w:rsidRDefault="0059251C">
            <w:pPr>
              <w:ind w:left="353"/>
            </w:pPr>
            <w:r>
              <w:rPr>
                <w:b/>
                <w:bCs/>
              </w:rPr>
              <w:t xml:space="preserve">Note:  </w:t>
            </w:r>
            <w:r>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alteration; and identification of user that performed alteration.</w:t>
            </w:r>
          </w:p>
        </w:tc>
        <w:tc>
          <w:tcPr>
            <w:tcW w:w="1163" w:type="dxa"/>
            <w:tcBorders>
              <w:bottom w:val="single" w:sz="4" w:space="0" w:color="auto"/>
            </w:tcBorders>
          </w:tcPr>
          <w:p w14:paraId="11242C71" w14:textId="77777777" w:rsidR="0059251C" w:rsidRDefault="0059251C">
            <w:pPr>
              <w:rPr>
                <w:rFonts w:ascii="Arial" w:hAnsi="Arial" w:cs="Arial"/>
              </w:rPr>
            </w:pPr>
          </w:p>
        </w:tc>
        <w:tc>
          <w:tcPr>
            <w:tcW w:w="1872" w:type="dxa"/>
            <w:tcBorders>
              <w:bottom w:val="single" w:sz="4" w:space="0" w:color="auto"/>
            </w:tcBorders>
          </w:tcPr>
          <w:p w14:paraId="33C9A07A" w14:textId="77777777" w:rsidR="0059251C" w:rsidRDefault="0059251C">
            <w:pPr>
              <w:rPr>
                <w:rFonts w:ascii="Arial" w:hAnsi="Arial" w:cs="Arial"/>
              </w:rPr>
            </w:pPr>
          </w:p>
        </w:tc>
      </w:tr>
      <w:tr w:rsidR="0059251C" w14:paraId="4099674B" w14:textId="77777777" w:rsidTr="003F4026">
        <w:trPr>
          <w:cantSplit/>
        </w:trPr>
        <w:tc>
          <w:tcPr>
            <w:tcW w:w="7755" w:type="dxa"/>
            <w:tcMar>
              <w:left w:w="115" w:type="dxa"/>
              <w:bottom w:w="144" w:type="dxa"/>
              <w:right w:w="115" w:type="dxa"/>
            </w:tcMar>
          </w:tcPr>
          <w:p w14:paraId="450B63D1" w14:textId="77777777" w:rsidR="0059251C" w:rsidRDefault="0059251C" w:rsidP="0059313F">
            <w:pPr>
              <w:pStyle w:val="List"/>
              <w:numPr>
                <w:ilvl w:val="0"/>
                <w:numId w:val="37"/>
              </w:numPr>
            </w:pPr>
            <w:r>
              <w:t>Perform an inventory of all count room keys and drop box release, storage rack and contents keys.  Compare to records of keys made, issued and destroyed.  Make sure all keys are accounted for and there are no extra keys.</w:t>
            </w:r>
          </w:p>
          <w:p w14:paraId="760B7106" w14:textId="64DE73BF" w:rsidR="003F4026" w:rsidRDefault="003F4026" w:rsidP="003F4026">
            <w:pPr>
              <w:pStyle w:val="List"/>
              <w:ind w:firstLine="0"/>
            </w:pPr>
          </w:p>
        </w:tc>
        <w:tc>
          <w:tcPr>
            <w:tcW w:w="1163" w:type="dxa"/>
            <w:tcBorders>
              <w:bottom w:val="single" w:sz="4" w:space="0" w:color="auto"/>
            </w:tcBorders>
          </w:tcPr>
          <w:p w14:paraId="2FFBF183" w14:textId="77777777" w:rsidR="0059251C" w:rsidRDefault="0059251C">
            <w:pPr>
              <w:rPr>
                <w:rFonts w:ascii="Arial" w:hAnsi="Arial" w:cs="Arial"/>
              </w:rPr>
            </w:pPr>
          </w:p>
        </w:tc>
        <w:tc>
          <w:tcPr>
            <w:tcW w:w="1872" w:type="dxa"/>
            <w:tcBorders>
              <w:bottom w:val="single" w:sz="4" w:space="0" w:color="auto"/>
            </w:tcBorders>
          </w:tcPr>
          <w:p w14:paraId="6F6CEBA7" w14:textId="77777777" w:rsidR="0059251C" w:rsidRDefault="0059251C">
            <w:pPr>
              <w:rPr>
                <w:rFonts w:ascii="Arial" w:hAnsi="Arial" w:cs="Arial"/>
              </w:rPr>
            </w:pPr>
          </w:p>
        </w:tc>
      </w:tr>
      <w:tr w:rsidR="0059251C" w14:paraId="2D75CF2D" w14:textId="77777777" w:rsidTr="003F4026">
        <w:trPr>
          <w:cantSplit/>
        </w:trPr>
        <w:tc>
          <w:tcPr>
            <w:tcW w:w="7755" w:type="dxa"/>
            <w:tcMar>
              <w:left w:w="115" w:type="dxa"/>
              <w:bottom w:w="0" w:type="dxa"/>
              <w:right w:w="115" w:type="dxa"/>
            </w:tcMar>
          </w:tcPr>
          <w:p w14:paraId="0401467B" w14:textId="77777777" w:rsidR="0059251C" w:rsidRDefault="0059251C" w:rsidP="0059313F">
            <w:pPr>
              <w:numPr>
                <w:ilvl w:val="0"/>
                <w:numId w:val="37"/>
              </w:numPr>
            </w:pPr>
            <w:r>
              <w:t>For voided fills, credits and marker credits ( with special attention to credit slips):</w:t>
            </w:r>
          </w:p>
          <w:p w14:paraId="581C8B60" w14:textId="61012550" w:rsidR="003F4026" w:rsidRPr="003F4026" w:rsidRDefault="003F4026" w:rsidP="003F4026">
            <w:pPr>
              <w:ind w:left="360"/>
              <w:rPr>
                <w:sz w:val="10"/>
              </w:rPr>
            </w:pPr>
          </w:p>
        </w:tc>
        <w:tc>
          <w:tcPr>
            <w:tcW w:w="1163" w:type="dxa"/>
            <w:shd w:val="pct15" w:color="auto" w:fill="auto"/>
          </w:tcPr>
          <w:p w14:paraId="5A1BC7A0" w14:textId="77777777" w:rsidR="0059251C" w:rsidRDefault="0059251C">
            <w:pPr>
              <w:rPr>
                <w:rFonts w:ascii="Arial" w:hAnsi="Arial" w:cs="Arial"/>
              </w:rPr>
            </w:pPr>
          </w:p>
        </w:tc>
        <w:tc>
          <w:tcPr>
            <w:tcW w:w="1872" w:type="dxa"/>
            <w:shd w:val="pct15" w:color="auto" w:fill="auto"/>
          </w:tcPr>
          <w:p w14:paraId="76C63896" w14:textId="77777777" w:rsidR="0059251C" w:rsidRDefault="0059251C">
            <w:pPr>
              <w:rPr>
                <w:rFonts w:ascii="Arial" w:hAnsi="Arial" w:cs="Arial"/>
              </w:rPr>
            </w:pPr>
          </w:p>
        </w:tc>
      </w:tr>
      <w:tr w:rsidR="0059251C" w14:paraId="4D0365C0" w14:textId="77777777" w:rsidTr="003F4026">
        <w:trPr>
          <w:cantSplit/>
        </w:trPr>
        <w:tc>
          <w:tcPr>
            <w:tcW w:w="7755" w:type="dxa"/>
            <w:tcMar>
              <w:left w:w="115" w:type="dxa"/>
              <w:bottom w:w="144" w:type="dxa"/>
              <w:right w:w="115" w:type="dxa"/>
            </w:tcMar>
          </w:tcPr>
          <w:p w14:paraId="1B99AE6B" w14:textId="2DC5B63C" w:rsidR="0059251C" w:rsidRDefault="0059251C" w:rsidP="0059313F">
            <w:pPr>
              <w:numPr>
                <w:ilvl w:val="1"/>
                <w:numId w:val="37"/>
              </w:numPr>
              <w:ind w:left="713" w:hanging="360"/>
            </w:pPr>
            <w:r>
              <w:t>Examine the slips to determine that the word “Void” is indicated on the original and first copy and that the cashier and one other person signed the original and first copy</w:t>
            </w:r>
            <w:r w:rsidR="0035498A">
              <w:t xml:space="preserve"> </w:t>
            </w:r>
            <w:r w:rsidR="0035498A" w:rsidRPr="00C01E22">
              <w:t>adjacent to the void indication</w:t>
            </w:r>
            <w:r>
              <w:t xml:space="preserve">.  </w:t>
            </w:r>
            <w:r>
              <w:rPr>
                <w:b/>
                <w:bCs/>
              </w:rPr>
              <w:t>MICS #</w:t>
            </w:r>
            <w:r w:rsidR="002C1E0A">
              <w:rPr>
                <w:b/>
                <w:bCs/>
              </w:rPr>
              <w:t>65</w:t>
            </w:r>
          </w:p>
        </w:tc>
        <w:tc>
          <w:tcPr>
            <w:tcW w:w="1163" w:type="dxa"/>
          </w:tcPr>
          <w:p w14:paraId="71C4F3C5" w14:textId="77777777" w:rsidR="0059251C" w:rsidRDefault="0059251C">
            <w:pPr>
              <w:rPr>
                <w:rFonts w:ascii="Arial" w:hAnsi="Arial" w:cs="Arial"/>
              </w:rPr>
            </w:pPr>
          </w:p>
        </w:tc>
        <w:tc>
          <w:tcPr>
            <w:tcW w:w="1872" w:type="dxa"/>
          </w:tcPr>
          <w:p w14:paraId="2BC8AF8C" w14:textId="77777777" w:rsidR="0059251C" w:rsidRDefault="0059251C">
            <w:pPr>
              <w:rPr>
                <w:rFonts w:ascii="Arial" w:hAnsi="Arial" w:cs="Arial"/>
              </w:rPr>
            </w:pPr>
          </w:p>
        </w:tc>
      </w:tr>
      <w:tr w:rsidR="0059251C" w14:paraId="4A5F1D64" w14:textId="77777777" w:rsidTr="003F4026">
        <w:trPr>
          <w:cantSplit/>
        </w:trPr>
        <w:tc>
          <w:tcPr>
            <w:tcW w:w="7755" w:type="dxa"/>
            <w:tcMar>
              <w:left w:w="115" w:type="dxa"/>
              <w:bottom w:w="144" w:type="dxa"/>
              <w:right w:w="115" w:type="dxa"/>
            </w:tcMar>
          </w:tcPr>
          <w:p w14:paraId="16635311" w14:textId="77777777" w:rsidR="0059251C" w:rsidRDefault="0059251C" w:rsidP="0059313F">
            <w:pPr>
              <w:numPr>
                <w:ilvl w:val="1"/>
                <w:numId w:val="37"/>
              </w:numPr>
              <w:ind w:left="713" w:hanging="360"/>
            </w:pPr>
            <w:r>
              <w:t xml:space="preserve">For computerized voids, trace the void to the computerized transaction log.  </w:t>
            </w:r>
            <w:r>
              <w:rPr>
                <w:b/>
                <w:bCs/>
              </w:rPr>
              <w:t>(Asset Protection)</w:t>
            </w:r>
          </w:p>
        </w:tc>
        <w:tc>
          <w:tcPr>
            <w:tcW w:w="1163" w:type="dxa"/>
          </w:tcPr>
          <w:p w14:paraId="7B765E42" w14:textId="77777777" w:rsidR="0059251C" w:rsidRDefault="0059251C">
            <w:pPr>
              <w:rPr>
                <w:rFonts w:ascii="Arial" w:hAnsi="Arial" w:cs="Arial"/>
              </w:rPr>
            </w:pPr>
          </w:p>
        </w:tc>
        <w:tc>
          <w:tcPr>
            <w:tcW w:w="1872" w:type="dxa"/>
          </w:tcPr>
          <w:p w14:paraId="070AF4D4" w14:textId="77777777" w:rsidR="0059251C" w:rsidRDefault="0059251C">
            <w:pPr>
              <w:rPr>
                <w:rFonts w:ascii="Arial" w:hAnsi="Arial" w:cs="Arial"/>
              </w:rPr>
            </w:pPr>
          </w:p>
        </w:tc>
      </w:tr>
      <w:tr w:rsidR="0059251C" w14:paraId="0ABB5BFF" w14:textId="77777777" w:rsidTr="003F4026">
        <w:trPr>
          <w:cantSplit/>
        </w:trPr>
        <w:tc>
          <w:tcPr>
            <w:tcW w:w="7755" w:type="dxa"/>
            <w:tcMar>
              <w:left w:w="115" w:type="dxa"/>
              <w:bottom w:w="144" w:type="dxa"/>
              <w:right w:w="115" w:type="dxa"/>
            </w:tcMar>
          </w:tcPr>
          <w:p w14:paraId="660AB052" w14:textId="77777777" w:rsidR="0059251C" w:rsidRPr="003F4026" w:rsidRDefault="0059251C" w:rsidP="0059313F">
            <w:pPr>
              <w:numPr>
                <w:ilvl w:val="1"/>
                <w:numId w:val="37"/>
              </w:numPr>
              <w:ind w:left="713" w:hanging="360"/>
            </w:pPr>
            <w:r>
              <w:t xml:space="preserve">If a computerized system is used, review the computerized transaction log to ensure that all voids are supported by physical slips that have been voided.  </w:t>
            </w:r>
            <w:r>
              <w:rPr>
                <w:b/>
                <w:bCs/>
              </w:rPr>
              <w:t xml:space="preserve">MICS </w:t>
            </w:r>
            <w:r w:rsidRPr="002C0B87">
              <w:rPr>
                <w:b/>
                <w:bCs/>
              </w:rPr>
              <w:t>#</w:t>
            </w:r>
            <w:r w:rsidR="002C1E0A">
              <w:rPr>
                <w:b/>
                <w:bCs/>
              </w:rPr>
              <w:t>179</w:t>
            </w:r>
            <w:r w:rsidR="002C1E0A" w:rsidRPr="002C0B87">
              <w:rPr>
                <w:b/>
                <w:bCs/>
              </w:rPr>
              <w:t>c</w:t>
            </w:r>
          </w:p>
          <w:p w14:paraId="3DF75DE5" w14:textId="3FF99D0C" w:rsidR="003F4026" w:rsidRPr="003F4026" w:rsidRDefault="003F4026" w:rsidP="003F4026">
            <w:pPr>
              <w:rPr>
                <w:sz w:val="12"/>
              </w:rPr>
            </w:pPr>
          </w:p>
        </w:tc>
        <w:tc>
          <w:tcPr>
            <w:tcW w:w="1163" w:type="dxa"/>
            <w:tcBorders>
              <w:bottom w:val="single" w:sz="4" w:space="0" w:color="auto"/>
            </w:tcBorders>
          </w:tcPr>
          <w:p w14:paraId="55D9E87E" w14:textId="77777777" w:rsidR="0059251C" w:rsidRDefault="0059251C">
            <w:pPr>
              <w:rPr>
                <w:rFonts w:ascii="Arial" w:hAnsi="Arial" w:cs="Arial"/>
              </w:rPr>
            </w:pPr>
          </w:p>
        </w:tc>
        <w:tc>
          <w:tcPr>
            <w:tcW w:w="1872" w:type="dxa"/>
            <w:tcBorders>
              <w:bottom w:val="single" w:sz="4" w:space="0" w:color="auto"/>
            </w:tcBorders>
          </w:tcPr>
          <w:p w14:paraId="23B8FC7F" w14:textId="77777777" w:rsidR="0059251C" w:rsidRDefault="0059251C">
            <w:pPr>
              <w:rPr>
                <w:rFonts w:ascii="Arial" w:hAnsi="Arial" w:cs="Arial"/>
              </w:rPr>
            </w:pPr>
          </w:p>
        </w:tc>
      </w:tr>
      <w:tr w:rsidR="0059251C" w14:paraId="4BB1A3E7" w14:textId="77777777" w:rsidTr="003F4026">
        <w:trPr>
          <w:cantSplit/>
          <w:trHeight w:val="269"/>
        </w:trPr>
        <w:tc>
          <w:tcPr>
            <w:tcW w:w="7755" w:type="dxa"/>
            <w:tcMar>
              <w:left w:w="115" w:type="dxa"/>
              <w:bottom w:w="0" w:type="dxa"/>
              <w:right w:w="115" w:type="dxa"/>
            </w:tcMar>
          </w:tcPr>
          <w:p w14:paraId="30B23268" w14:textId="01C7F80F" w:rsidR="00E47BD4" w:rsidRDefault="0059251C" w:rsidP="00E47BD4">
            <w:pPr>
              <w:numPr>
                <w:ilvl w:val="0"/>
                <w:numId w:val="37"/>
              </w:numPr>
            </w:pPr>
            <w:r>
              <w:t>For voided markers:</w:t>
            </w:r>
          </w:p>
        </w:tc>
        <w:tc>
          <w:tcPr>
            <w:tcW w:w="1163" w:type="dxa"/>
            <w:tcBorders>
              <w:bottom w:val="single" w:sz="4" w:space="0" w:color="auto"/>
            </w:tcBorders>
            <w:shd w:val="pct15" w:color="auto" w:fill="auto"/>
          </w:tcPr>
          <w:p w14:paraId="3F4480D2" w14:textId="77777777" w:rsidR="0059251C" w:rsidRDefault="0059251C">
            <w:pPr>
              <w:rPr>
                <w:rFonts w:ascii="Arial" w:hAnsi="Arial" w:cs="Arial"/>
              </w:rPr>
            </w:pPr>
          </w:p>
        </w:tc>
        <w:tc>
          <w:tcPr>
            <w:tcW w:w="1872" w:type="dxa"/>
            <w:tcBorders>
              <w:bottom w:val="single" w:sz="4" w:space="0" w:color="auto"/>
            </w:tcBorders>
            <w:shd w:val="pct15" w:color="auto" w:fill="auto"/>
          </w:tcPr>
          <w:p w14:paraId="420EC53E" w14:textId="77777777" w:rsidR="0059251C" w:rsidRDefault="0059251C">
            <w:pPr>
              <w:rPr>
                <w:rFonts w:ascii="Arial" w:hAnsi="Arial" w:cs="Arial"/>
              </w:rPr>
            </w:pPr>
          </w:p>
        </w:tc>
      </w:tr>
      <w:tr w:rsidR="0059251C" w14:paraId="761DC5A5" w14:textId="77777777" w:rsidTr="003F4026">
        <w:trPr>
          <w:cantSplit/>
        </w:trPr>
        <w:tc>
          <w:tcPr>
            <w:tcW w:w="7755" w:type="dxa"/>
            <w:tcMar>
              <w:left w:w="115" w:type="dxa"/>
              <w:bottom w:w="0" w:type="dxa"/>
              <w:right w:w="115" w:type="dxa"/>
            </w:tcMar>
          </w:tcPr>
          <w:p w14:paraId="78E9C096" w14:textId="77777777" w:rsidR="0059251C" w:rsidRDefault="0059251C" w:rsidP="0059313F">
            <w:pPr>
              <w:numPr>
                <w:ilvl w:val="1"/>
                <w:numId w:val="37"/>
              </w:numPr>
              <w:ind w:left="713" w:hanging="360"/>
            </w:pPr>
            <w:r>
              <w:t>Examine the marker to determine that:</w:t>
            </w:r>
          </w:p>
        </w:tc>
        <w:tc>
          <w:tcPr>
            <w:tcW w:w="1163" w:type="dxa"/>
            <w:shd w:val="pct15" w:color="auto" w:fill="auto"/>
          </w:tcPr>
          <w:p w14:paraId="3A8E3B5F" w14:textId="77777777" w:rsidR="0059251C" w:rsidRDefault="0059251C">
            <w:pPr>
              <w:rPr>
                <w:rFonts w:ascii="Arial" w:hAnsi="Arial" w:cs="Arial"/>
              </w:rPr>
            </w:pPr>
          </w:p>
        </w:tc>
        <w:tc>
          <w:tcPr>
            <w:tcW w:w="1872" w:type="dxa"/>
            <w:shd w:val="pct15" w:color="auto" w:fill="auto"/>
          </w:tcPr>
          <w:p w14:paraId="7D886F2B" w14:textId="77777777" w:rsidR="0059251C" w:rsidRDefault="0059251C">
            <w:pPr>
              <w:rPr>
                <w:rFonts w:ascii="Arial" w:hAnsi="Arial" w:cs="Arial"/>
              </w:rPr>
            </w:pPr>
          </w:p>
        </w:tc>
      </w:tr>
      <w:tr w:rsidR="0059251C" w14:paraId="127E0F30" w14:textId="77777777" w:rsidTr="003F4026">
        <w:trPr>
          <w:cantSplit/>
        </w:trPr>
        <w:tc>
          <w:tcPr>
            <w:tcW w:w="7755" w:type="dxa"/>
            <w:tcMar>
              <w:left w:w="115" w:type="dxa"/>
              <w:bottom w:w="144" w:type="dxa"/>
              <w:right w:w="115" w:type="dxa"/>
            </w:tcMar>
          </w:tcPr>
          <w:p w14:paraId="6F34430D" w14:textId="77777777" w:rsidR="0059251C" w:rsidRDefault="0059251C" w:rsidP="0059313F">
            <w:pPr>
              <w:numPr>
                <w:ilvl w:val="2"/>
                <w:numId w:val="37"/>
              </w:numPr>
              <w:ind w:left="1073" w:hanging="360"/>
            </w:pPr>
            <w:r>
              <w:t xml:space="preserve">The word “Void” is written across </w:t>
            </w:r>
            <w:r w:rsidR="00195B0C" w:rsidRPr="00C01E22">
              <w:t>the original, issue slip (if available at the time of the void) and payment slip</w:t>
            </w:r>
            <w:r w:rsidR="00195B0C" w:rsidRPr="00195B0C">
              <w:rPr>
                <w:b/>
              </w:rPr>
              <w:t xml:space="preserve"> </w:t>
            </w:r>
            <w:r w:rsidR="00C01E22">
              <w:t>of the marker</w:t>
            </w:r>
            <w:r>
              <w:t xml:space="preserve">.  </w:t>
            </w:r>
            <w:r>
              <w:rPr>
                <w:b/>
                <w:bCs/>
              </w:rPr>
              <w:t>MICS #15a</w:t>
            </w:r>
          </w:p>
        </w:tc>
        <w:tc>
          <w:tcPr>
            <w:tcW w:w="1163" w:type="dxa"/>
          </w:tcPr>
          <w:p w14:paraId="42FD2A28" w14:textId="77777777" w:rsidR="0059251C" w:rsidRDefault="0059251C">
            <w:pPr>
              <w:rPr>
                <w:rFonts w:ascii="Arial" w:hAnsi="Arial" w:cs="Arial"/>
              </w:rPr>
            </w:pPr>
          </w:p>
        </w:tc>
        <w:tc>
          <w:tcPr>
            <w:tcW w:w="1872" w:type="dxa"/>
          </w:tcPr>
          <w:p w14:paraId="054711AF" w14:textId="77777777" w:rsidR="0059251C" w:rsidRDefault="0059251C">
            <w:pPr>
              <w:rPr>
                <w:rFonts w:ascii="Arial" w:hAnsi="Arial" w:cs="Arial"/>
              </w:rPr>
            </w:pPr>
          </w:p>
        </w:tc>
      </w:tr>
      <w:tr w:rsidR="002E0FFC" w14:paraId="34C8D1CF" w14:textId="77777777" w:rsidTr="003F4026">
        <w:trPr>
          <w:cantSplit/>
        </w:trPr>
        <w:tc>
          <w:tcPr>
            <w:tcW w:w="7755" w:type="dxa"/>
            <w:tcMar>
              <w:left w:w="115" w:type="dxa"/>
              <w:bottom w:w="144" w:type="dxa"/>
              <w:right w:w="115" w:type="dxa"/>
            </w:tcMar>
          </w:tcPr>
          <w:p w14:paraId="09196927" w14:textId="77777777" w:rsidR="002E0FFC" w:rsidRPr="00C01E22" w:rsidRDefault="002E0FFC" w:rsidP="0059313F">
            <w:pPr>
              <w:numPr>
                <w:ilvl w:val="2"/>
                <w:numId w:val="37"/>
              </w:numPr>
              <w:ind w:left="1073" w:hanging="360"/>
            </w:pPr>
            <w:r w:rsidRPr="00C01E22">
              <w:t xml:space="preserve">The reason the marker is voided is documented on one part of the marker, or other document (e.g., a log) sufficiently identifying the marker.  </w:t>
            </w:r>
            <w:r w:rsidRPr="00C01E22">
              <w:rPr>
                <w:b/>
              </w:rPr>
              <w:t>MICS #15b</w:t>
            </w:r>
          </w:p>
        </w:tc>
        <w:tc>
          <w:tcPr>
            <w:tcW w:w="1163" w:type="dxa"/>
          </w:tcPr>
          <w:p w14:paraId="2EE39FF0" w14:textId="77777777" w:rsidR="002E0FFC" w:rsidRDefault="002E0FFC">
            <w:pPr>
              <w:rPr>
                <w:rFonts w:ascii="Arial" w:hAnsi="Arial" w:cs="Arial"/>
              </w:rPr>
            </w:pPr>
          </w:p>
        </w:tc>
        <w:tc>
          <w:tcPr>
            <w:tcW w:w="1872" w:type="dxa"/>
          </w:tcPr>
          <w:p w14:paraId="6D7B7873" w14:textId="77777777" w:rsidR="002E0FFC" w:rsidRDefault="002E0FFC">
            <w:pPr>
              <w:rPr>
                <w:rFonts w:ascii="Arial" w:hAnsi="Arial" w:cs="Arial"/>
              </w:rPr>
            </w:pPr>
          </w:p>
        </w:tc>
      </w:tr>
      <w:tr w:rsidR="0059251C" w14:paraId="50D39652" w14:textId="77777777" w:rsidTr="003F4026">
        <w:trPr>
          <w:cantSplit/>
        </w:trPr>
        <w:tc>
          <w:tcPr>
            <w:tcW w:w="7755" w:type="dxa"/>
            <w:tcMar>
              <w:left w:w="115" w:type="dxa"/>
              <w:bottom w:w="144" w:type="dxa"/>
              <w:right w:w="115" w:type="dxa"/>
            </w:tcMar>
          </w:tcPr>
          <w:p w14:paraId="1725B9C2" w14:textId="77777777" w:rsidR="0059251C" w:rsidRDefault="0059251C" w:rsidP="0059313F">
            <w:pPr>
              <w:numPr>
                <w:ilvl w:val="2"/>
                <w:numId w:val="37"/>
              </w:numPr>
              <w:ind w:left="1073" w:hanging="360"/>
            </w:pPr>
            <w:r>
              <w:t>The date and time of the void is indicated</w:t>
            </w:r>
            <w:r w:rsidR="002E0FFC">
              <w:t xml:space="preserve"> </w:t>
            </w:r>
            <w:r w:rsidR="002E0FFC" w:rsidRPr="00C01E22">
              <w:t>on at least one part of the marker</w:t>
            </w:r>
            <w:r>
              <w:t xml:space="preserve">.  </w:t>
            </w:r>
            <w:r>
              <w:rPr>
                <w:b/>
                <w:bCs/>
              </w:rPr>
              <w:t>MICS #15</w:t>
            </w:r>
            <w:r w:rsidR="002E0FFC" w:rsidRPr="00C01E22">
              <w:rPr>
                <w:b/>
                <w:bCs/>
              </w:rPr>
              <w:t>c</w:t>
            </w:r>
          </w:p>
        </w:tc>
        <w:tc>
          <w:tcPr>
            <w:tcW w:w="1163" w:type="dxa"/>
          </w:tcPr>
          <w:p w14:paraId="1D540CDD" w14:textId="77777777" w:rsidR="0059251C" w:rsidRDefault="0059251C">
            <w:pPr>
              <w:rPr>
                <w:rFonts w:ascii="Arial" w:hAnsi="Arial" w:cs="Arial"/>
              </w:rPr>
            </w:pPr>
          </w:p>
        </w:tc>
        <w:tc>
          <w:tcPr>
            <w:tcW w:w="1872" w:type="dxa"/>
          </w:tcPr>
          <w:p w14:paraId="3C7E3567" w14:textId="77777777" w:rsidR="0059251C" w:rsidRDefault="0059251C">
            <w:pPr>
              <w:rPr>
                <w:rFonts w:ascii="Arial" w:hAnsi="Arial" w:cs="Arial"/>
              </w:rPr>
            </w:pPr>
          </w:p>
        </w:tc>
      </w:tr>
      <w:tr w:rsidR="0059251C" w14:paraId="7E102EFC" w14:textId="77777777" w:rsidTr="003F4026">
        <w:trPr>
          <w:cantSplit/>
        </w:trPr>
        <w:tc>
          <w:tcPr>
            <w:tcW w:w="7755" w:type="dxa"/>
            <w:tcMar>
              <w:left w:w="115" w:type="dxa"/>
              <w:bottom w:w="144" w:type="dxa"/>
              <w:right w:w="115" w:type="dxa"/>
            </w:tcMar>
          </w:tcPr>
          <w:p w14:paraId="603AA2D3" w14:textId="77777777" w:rsidR="0059251C" w:rsidRDefault="002E0FFC" w:rsidP="0059313F">
            <w:pPr>
              <w:numPr>
                <w:ilvl w:val="2"/>
                <w:numId w:val="37"/>
              </w:numPr>
              <w:ind w:left="1073" w:hanging="360"/>
            </w:pPr>
            <w:r w:rsidRPr="00C01E22">
              <w:t>Signatures on at least one part of the marker (adjacent to the void indication) of two pit personnel performing the void, at least one of whom is a pit supervisor</w:t>
            </w:r>
            <w:r w:rsidR="0059251C">
              <w:t xml:space="preserve">.  </w:t>
            </w:r>
            <w:r w:rsidR="0059251C">
              <w:rPr>
                <w:b/>
                <w:bCs/>
              </w:rPr>
              <w:t>MICS #15</w:t>
            </w:r>
            <w:r w:rsidRPr="00C01E22">
              <w:rPr>
                <w:b/>
                <w:bCs/>
              </w:rPr>
              <w:t>d</w:t>
            </w:r>
          </w:p>
        </w:tc>
        <w:tc>
          <w:tcPr>
            <w:tcW w:w="1163" w:type="dxa"/>
          </w:tcPr>
          <w:p w14:paraId="44856D17" w14:textId="77777777" w:rsidR="0059251C" w:rsidRDefault="0059251C">
            <w:pPr>
              <w:rPr>
                <w:rFonts w:ascii="Arial" w:hAnsi="Arial" w:cs="Arial"/>
              </w:rPr>
            </w:pPr>
          </w:p>
        </w:tc>
        <w:tc>
          <w:tcPr>
            <w:tcW w:w="1872" w:type="dxa"/>
          </w:tcPr>
          <w:p w14:paraId="4DB6EF89" w14:textId="77777777" w:rsidR="0059251C" w:rsidRDefault="0059251C">
            <w:pPr>
              <w:rPr>
                <w:rFonts w:ascii="Arial" w:hAnsi="Arial" w:cs="Arial"/>
              </w:rPr>
            </w:pPr>
          </w:p>
        </w:tc>
      </w:tr>
      <w:tr w:rsidR="0059251C" w14:paraId="0F615747" w14:textId="77777777" w:rsidTr="003F4026">
        <w:trPr>
          <w:cantSplit/>
        </w:trPr>
        <w:tc>
          <w:tcPr>
            <w:tcW w:w="7755" w:type="dxa"/>
            <w:tcMar>
              <w:left w:w="115" w:type="dxa"/>
              <w:bottom w:w="144" w:type="dxa"/>
              <w:right w:w="115" w:type="dxa"/>
            </w:tcMar>
          </w:tcPr>
          <w:p w14:paraId="4DE7800B" w14:textId="77777777" w:rsidR="0059251C" w:rsidRDefault="0059251C" w:rsidP="0059313F">
            <w:pPr>
              <w:numPr>
                <w:ilvl w:val="1"/>
                <w:numId w:val="37"/>
              </w:numPr>
              <w:ind w:left="713" w:hanging="360"/>
            </w:pPr>
            <w:r>
              <w:lastRenderedPageBreak/>
              <w:t xml:space="preserve">For computerized voids, trace the void to the computerized transaction log.  </w:t>
            </w:r>
            <w:r>
              <w:rPr>
                <w:b/>
                <w:bCs/>
              </w:rPr>
              <w:t>(Asset Protection)</w:t>
            </w:r>
          </w:p>
        </w:tc>
        <w:tc>
          <w:tcPr>
            <w:tcW w:w="1163" w:type="dxa"/>
          </w:tcPr>
          <w:p w14:paraId="452801A2" w14:textId="77777777" w:rsidR="0059251C" w:rsidRDefault="0059251C">
            <w:pPr>
              <w:rPr>
                <w:rFonts w:ascii="Arial" w:hAnsi="Arial" w:cs="Arial"/>
              </w:rPr>
            </w:pPr>
          </w:p>
        </w:tc>
        <w:tc>
          <w:tcPr>
            <w:tcW w:w="1872" w:type="dxa"/>
          </w:tcPr>
          <w:p w14:paraId="2AD38350" w14:textId="77777777" w:rsidR="0059251C" w:rsidRDefault="0059251C">
            <w:pPr>
              <w:rPr>
                <w:rFonts w:ascii="Arial" w:hAnsi="Arial" w:cs="Arial"/>
              </w:rPr>
            </w:pPr>
          </w:p>
        </w:tc>
      </w:tr>
      <w:tr w:rsidR="0059251C" w14:paraId="68B8E7D9" w14:textId="77777777" w:rsidTr="003F4026">
        <w:trPr>
          <w:cantSplit/>
        </w:trPr>
        <w:tc>
          <w:tcPr>
            <w:tcW w:w="7755" w:type="dxa"/>
            <w:tcMar>
              <w:left w:w="115" w:type="dxa"/>
              <w:bottom w:w="144" w:type="dxa"/>
              <w:right w:w="115" w:type="dxa"/>
            </w:tcMar>
          </w:tcPr>
          <w:p w14:paraId="245DEFA6" w14:textId="4F665826" w:rsidR="0059251C" w:rsidRDefault="0059251C" w:rsidP="0059313F">
            <w:pPr>
              <w:numPr>
                <w:ilvl w:val="1"/>
                <w:numId w:val="37"/>
              </w:numPr>
              <w:ind w:left="713" w:hanging="360"/>
            </w:pPr>
            <w:r>
              <w:t xml:space="preserve">If a computerized system is used, review the computerized transaction log to ensure that all voided markers are supported by physical forms that have been voided.  </w:t>
            </w:r>
            <w:r>
              <w:rPr>
                <w:b/>
                <w:bCs/>
              </w:rPr>
              <w:t>MICS #</w:t>
            </w:r>
            <w:r w:rsidR="0084439A">
              <w:rPr>
                <w:b/>
                <w:bCs/>
              </w:rPr>
              <w:t>159</w:t>
            </w:r>
            <w:r w:rsidRPr="00C01E22">
              <w:rPr>
                <w:b/>
                <w:bCs/>
              </w:rPr>
              <w:t>c</w:t>
            </w:r>
            <w:r>
              <w:t xml:space="preserve"> </w:t>
            </w:r>
          </w:p>
        </w:tc>
        <w:tc>
          <w:tcPr>
            <w:tcW w:w="1163" w:type="dxa"/>
          </w:tcPr>
          <w:p w14:paraId="42BF7744" w14:textId="77777777" w:rsidR="0059251C" w:rsidRDefault="0059251C">
            <w:pPr>
              <w:rPr>
                <w:rFonts w:ascii="Arial" w:hAnsi="Arial" w:cs="Arial"/>
              </w:rPr>
            </w:pPr>
          </w:p>
        </w:tc>
        <w:tc>
          <w:tcPr>
            <w:tcW w:w="1872" w:type="dxa"/>
          </w:tcPr>
          <w:p w14:paraId="464F3BE0" w14:textId="77777777" w:rsidR="0059251C" w:rsidRDefault="0059251C">
            <w:pPr>
              <w:rPr>
                <w:rFonts w:ascii="Arial" w:hAnsi="Arial" w:cs="Arial"/>
              </w:rPr>
            </w:pPr>
          </w:p>
        </w:tc>
      </w:tr>
      <w:tr w:rsidR="0059251C" w14:paraId="3FC3B3C2" w14:textId="77777777" w:rsidTr="003F4026">
        <w:trPr>
          <w:cantSplit/>
        </w:trPr>
        <w:tc>
          <w:tcPr>
            <w:tcW w:w="7755" w:type="dxa"/>
            <w:tcMar>
              <w:left w:w="115" w:type="dxa"/>
              <w:bottom w:w="144" w:type="dxa"/>
              <w:right w:w="115" w:type="dxa"/>
            </w:tcMar>
          </w:tcPr>
          <w:p w14:paraId="03BDF748" w14:textId="77777777" w:rsidR="0059251C" w:rsidRDefault="00195B0C" w:rsidP="0059313F">
            <w:pPr>
              <w:numPr>
                <w:ilvl w:val="1"/>
                <w:numId w:val="37"/>
              </w:numPr>
              <w:ind w:left="713" w:hanging="360"/>
            </w:pPr>
            <w:r w:rsidRPr="00C01E22">
              <w:t>Determine if any voided marker was voided more than 30 minutes after the issuance of the marker.</w:t>
            </w:r>
            <w:r w:rsidRPr="00195B0C">
              <w:rPr>
                <w:b/>
              </w:rPr>
              <w:t xml:space="preserve">  </w:t>
            </w:r>
            <w:r w:rsidR="0059251C">
              <w:t xml:space="preserve">For </w:t>
            </w:r>
            <w:r w:rsidRPr="00C01E22">
              <w:t>those</w:t>
            </w:r>
            <w:r w:rsidRPr="00195B0C">
              <w:rPr>
                <w:b/>
              </w:rPr>
              <w:t xml:space="preserve"> </w:t>
            </w:r>
            <w:r w:rsidR="0059251C">
              <w:t xml:space="preserve">markers that were voided more than 30 minutes after the issuance of the marker, ensure that the reason for exceeding this time frame is documented and evaluate the legitimacy of the documented reason. </w:t>
            </w:r>
            <w:r w:rsidR="002C0B87">
              <w:rPr>
                <w:b/>
                <w:bCs/>
              </w:rPr>
              <w:t xml:space="preserve"> </w:t>
            </w:r>
            <w:r w:rsidR="0059251C">
              <w:rPr>
                <w:b/>
                <w:bCs/>
              </w:rPr>
              <w:t>MICS #16</w:t>
            </w:r>
            <w:r w:rsidR="0059251C">
              <w:t xml:space="preserve"> </w:t>
            </w:r>
          </w:p>
          <w:p w14:paraId="18A36A1E" w14:textId="431B2742" w:rsidR="003F4026" w:rsidRDefault="003F4026" w:rsidP="003F4026"/>
        </w:tc>
        <w:tc>
          <w:tcPr>
            <w:tcW w:w="1163" w:type="dxa"/>
            <w:tcBorders>
              <w:bottom w:val="single" w:sz="4" w:space="0" w:color="auto"/>
            </w:tcBorders>
          </w:tcPr>
          <w:p w14:paraId="502AC528" w14:textId="77777777" w:rsidR="0059251C" w:rsidRDefault="0059251C">
            <w:pPr>
              <w:rPr>
                <w:rFonts w:ascii="Arial" w:hAnsi="Arial" w:cs="Arial"/>
              </w:rPr>
            </w:pPr>
          </w:p>
        </w:tc>
        <w:tc>
          <w:tcPr>
            <w:tcW w:w="1872" w:type="dxa"/>
            <w:tcBorders>
              <w:bottom w:val="single" w:sz="4" w:space="0" w:color="auto"/>
            </w:tcBorders>
          </w:tcPr>
          <w:p w14:paraId="13DA7B95" w14:textId="77777777" w:rsidR="0059251C" w:rsidRDefault="0059251C">
            <w:pPr>
              <w:rPr>
                <w:rFonts w:ascii="Arial" w:hAnsi="Arial" w:cs="Arial"/>
              </w:rPr>
            </w:pPr>
          </w:p>
        </w:tc>
      </w:tr>
      <w:tr w:rsidR="00261F67" w14:paraId="1A94C839" w14:textId="77777777" w:rsidTr="003F4026">
        <w:trPr>
          <w:cantSplit/>
          <w:trHeight w:val="20"/>
        </w:trPr>
        <w:tc>
          <w:tcPr>
            <w:tcW w:w="7755" w:type="dxa"/>
          </w:tcPr>
          <w:p w14:paraId="51D3EEE5" w14:textId="77777777" w:rsidR="00261F67" w:rsidRDefault="00261F67" w:rsidP="0059313F">
            <w:pPr>
              <w:numPr>
                <w:ilvl w:val="0"/>
                <w:numId w:val="37"/>
              </w:numPr>
            </w:pPr>
            <w:r>
              <w:t>For all rim credit cards, perform the following steps:</w:t>
            </w:r>
          </w:p>
        </w:tc>
        <w:tc>
          <w:tcPr>
            <w:tcW w:w="1163" w:type="dxa"/>
            <w:shd w:val="clear" w:color="C0C0C0" w:fill="D9D9D9"/>
          </w:tcPr>
          <w:p w14:paraId="4A80A3BA" w14:textId="77777777" w:rsidR="00261F67" w:rsidRDefault="00261F67" w:rsidP="00663BB4">
            <w:pPr>
              <w:rPr>
                <w:rFonts w:ascii="Arial" w:hAnsi="Arial" w:cs="Arial"/>
              </w:rPr>
            </w:pPr>
          </w:p>
        </w:tc>
        <w:tc>
          <w:tcPr>
            <w:tcW w:w="1872" w:type="dxa"/>
            <w:shd w:val="clear" w:color="C0C0C0" w:fill="D9D9D9"/>
          </w:tcPr>
          <w:p w14:paraId="4415FCEC" w14:textId="77777777" w:rsidR="00261F67" w:rsidRDefault="00261F67" w:rsidP="00663BB4">
            <w:pPr>
              <w:rPr>
                <w:rFonts w:ascii="Arial" w:hAnsi="Arial" w:cs="Arial"/>
              </w:rPr>
            </w:pPr>
          </w:p>
        </w:tc>
      </w:tr>
      <w:tr w:rsidR="0059251C" w14:paraId="4D4C4796" w14:textId="77777777" w:rsidTr="003F4026">
        <w:trPr>
          <w:cantSplit/>
        </w:trPr>
        <w:tc>
          <w:tcPr>
            <w:tcW w:w="7755" w:type="dxa"/>
            <w:tcMar>
              <w:left w:w="115" w:type="dxa"/>
              <w:bottom w:w="144" w:type="dxa"/>
              <w:right w:w="115" w:type="dxa"/>
            </w:tcMar>
          </w:tcPr>
          <w:p w14:paraId="58D1E80E" w14:textId="77777777" w:rsidR="0059251C" w:rsidRDefault="0059251C" w:rsidP="0059313F">
            <w:pPr>
              <w:numPr>
                <w:ilvl w:val="1"/>
                <w:numId w:val="37"/>
              </w:numPr>
              <w:ind w:left="713" w:hanging="360"/>
            </w:pPr>
            <w:r>
              <w:t>For rim credit settled via the issuance of a marker, trace the marker to the</w:t>
            </w:r>
            <w:r w:rsidR="006A1465">
              <w:t xml:space="preserve"> </w:t>
            </w:r>
            <w:r w:rsidR="006A1465" w:rsidRPr="00C01E22">
              <w:t>record of credit activity</w:t>
            </w:r>
            <w:r>
              <w:t xml:space="preserve">.  </w:t>
            </w:r>
            <w:r>
              <w:rPr>
                <w:b/>
                <w:bCs/>
              </w:rPr>
              <w:t>(Asset Protection)</w:t>
            </w:r>
          </w:p>
        </w:tc>
        <w:tc>
          <w:tcPr>
            <w:tcW w:w="1163" w:type="dxa"/>
          </w:tcPr>
          <w:p w14:paraId="07C04784" w14:textId="77777777" w:rsidR="0059251C" w:rsidRDefault="0059251C">
            <w:pPr>
              <w:rPr>
                <w:rFonts w:ascii="Arial" w:hAnsi="Arial" w:cs="Arial"/>
              </w:rPr>
            </w:pPr>
          </w:p>
        </w:tc>
        <w:tc>
          <w:tcPr>
            <w:tcW w:w="1872" w:type="dxa"/>
          </w:tcPr>
          <w:p w14:paraId="7684520A" w14:textId="77777777" w:rsidR="0059251C" w:rsidRDefault="0059251C">
            <w:pPr>
              <w:rPr>
                <w:rFonts w:ascii="Arial" w:hAnsi="Arial" w:cs="Arial"/>
              </w:rPr>
            </w:pPr>
          </w:p>
        </w:tc>
      </w:tr>
      <w:tr w:rsidR="0059251C" w14:paraId="5F84DA8B" w14:textId="77777777" w:rsidTr="003F4026">
        <w:trPr>
          <w:cantSplit/>
        </w:trPr>
        <w:tc>
          <w:tcPr>
            <w:tcW w:w="7755" w:type="dxa"/>
            <w:tcMar>
              <w:left w:w="115" w:type="dxa"/>
              <w:bottom w:w="144" w:type="dxa"/>
              <w:right w:w="115" w:type="dxa"/>
            </w:tcMar>
          </w:tcPr>
          <w:p w14:paraId="02632C5F" w14:textId="0F446047" w:rsidR="0059251C" w:rsidRDefault="0059251C" w:rsidP="0059313F">
            <w:pPr>
              <w:numPr>
                <w:ilvl w:val="1"/>
                <w:numId w:val="37"/>
              </w:numPr>
              <w:ind w:left="713" w:hanging="360"/>
            </w:pPr>
            <w:r>
              <w:t>Ensure that the outstanding rim credit was</w:t>
            </w:r>
            <w:r w:rsidR="006A1465">
              <w:t xml:space="preserve"> </w:t>
            </w:r>
            <w:r w:rsidR="006A1465" w:rsidRPr="00C01E22">
              <w:t>reduced to zero</w:t>
            </w:r>
            <w:r>
              <w:t xml:space="preserve"> by the issuance of a marker or payment in full within 7 days from the last date of recorded rim credit activity.  </w:t>
            </w:r>
            <w:r w:rsidR="002C0B87">
              <w:rPr>
                <w:b/>
                <w:bCs/>
              </w:rPr>
              <w:t>M</w:t>
            </w:r>
            <w:r>
              <w:rPr>
                <w:b/>
                <w:bCs/>
              </w:rPr>
              <w:t>ICS #</w:t>
            </w:r>
            <w:r w:rsidR="007B201E">
              <w:rPr>
                <w:b/>
                <w:bCs/>
              </w:rPr>
              <w:t>58</w:t>
            </w:r>
          </w:p>
        </w:tc>
        <w:tc>
          <w:tcPr>
            <w:tcW w:w="1163" w:type="dxa"/>
          </w:tcPr>
          <w:p w14:paraId="31A9FB0D" w14:textId="77777777" w:rsidR="0059251C" w:rsidRDefault="0059251C">
            <w:pPr>
              <w:rPr>
                <w:rFonts w:ascii="Arial" w:hAnsi="Arial" w:cs="Arial"/>
              </w:rPr>
            </w:pPr>
          </w:p>
        </w:tc>
        <w:tc>
          <w:tcPr>
            <w:tcW w:w="1872" w:type="dxa"/>
          </w:tcPr>
          <w:p w14:paraId="6110E097" w14:textId="77777777" w:rsidR="0059251C" w:rsidRDefault="0059251C">
            <w:pPr>
              <w:rPr>
                <w:rFonts w:ascii="Arial" w:hAnsi="Arial" w:cs="Arial"/>
              </w:rPr>
            </w:pPr>
          </w:p>
        </w:tc>
      </w:tr>
      <w:tr w:rsidR="0059251C" w14:paraId="61C6C947" w14:textId="77777777" w:rsidTr="003F4026">
        <w:trPr>
          <w:cantSplit/>
        </w:trPr>
        <w:tc>
          <w:tcPr>
            <w:tcW w:w="7755" w:type="dxa"/>
            <w:tcMar>
              <w:left w:w="115" w:type="dxa"/>
              <w:bottom w:w="144" w:type="dxa"/>
              <w:right w:w="115" w:type="dxa"/>
            </w:tcMar>
          </w:tcPr>
          <w:p w14:paraId="66D77ADE" w14:textId="77777777" w:rsidR="0059251C" w:rsidRPr="003F4026" w:rsidRDefault="0059251C" w:rsidP="0059313F">
            <w:pPr>
              <w:numPr>
                <w:ilvl w:val="1"/>
                <w:numId w:val="37"/>
              </w:numPr>
              <w:ind w:left="713" w:hanging="360"/>
            </w:pPr>
            <w:r>
              <w:t xml:space="preserve">Foot the </w:t>
            </w:r>
            <w:r w:rsidR="006A1465" w:rsidRPr="00C01E22">
              <w:t>rim credit balance</w:t>
            </w:r>
            <w:r w:rsidR="006A1465">
              <w:t xml:space="preserve"> </w:t>
            </w:r>
            <w:r w:rsidR="006A1465" w:rsidRPr="00C01E22">
              <w:t>increase/decrease</w:t>
            </w:r>
            <w:r w:rsidR="006A1465">
              <w:t xml:space="preserve"> </w:t>
            </w:r>
            <w:r>
              <w:t xml:space="preserve">on the rim card to ensure the clerical accuracy of the forms.  </w:t>
            </w:r>
            <w:r>
              <w:rPr>
                <w:b/>
                <w:bCs/>
              </w:rPr>
              <w:t>(Asset Protection)</w:t>
            </w:r>
          </w:p>
          <w:p w14:paraId="06C0F099" w14:textId="29C432A4" w:rsidR="003F4026" w:rsidRDefault="003F4026" w:rsidP="003F4026"/>
        </w:tc>
        <w:tc>
          <w:tcPr>
            <w:tcW w:w="1163" w:type="dxa"/>
            <w:tcBorders>
              <w:bottom w:val="single" w:sz="4" w:space="0" w:color="auto"/>
            </w:tcBorders>
          </w:tcPr>
          <w:p w14:paraId="32DAD8DA" w14:textId="77777777" w:rsidR="0059251C" w:rsidRDefault="0059251C">
            <w:pPr>
              <w:rPr>
                <w:rFonts w:ascii="Arial" w:hAnsi="Arial" w:cs="Arial"/>
              </w:rPr>
            </w:pPr>
          </w:p>
        </w:tc>
        <w:tc>
          <w:tcPr>
            <w:tcW w:w="1872" w:type="dxa"/>
            <w:tcBorders>
              <w:bottom w:val="single" w:sz="4" w:space="0" w:color="auto"/>
            </w:tcBorders>
          </w:tcPr>
          <w:p w14:paraId="10BDF0AD" w14:textId="77777777" w:rsidR="0059251C" w:rsidRDefault="0059251C">
            <w:pPr>
              <w:rPr>
                <w:rFonts w:ascii="Arial" w:hAnsi="Arial" w:cs="Arial"/>
              </w:rPr>
            </w:pPr>
          </w:p>
        </w:tc>
      </w:tr>
      <w:tr w:rsidR="00A52724" w14:paraId="66699869" w14:textId="77777777" w:rsidTr="003F4026">
        <w:trPr>
          <w:cantSplit/>
          <w:trHeight w:val="20"/>
        </w:trPr>
        <w:tc>
          <w:tcPr>
            <w:tcW w:w="7755" w:type="dxa"/>
          </w:tcPr>
          <w:p w14:paraId="3CED3F20" w14:textId="77777777" w:rsidR="003F4026" w:rsidRDefault="00A52724" w:rsidP="003F4026">
            <w:pPr>
              <w:pStyle w:val="List"/>
              <w:numPr>
                <w:ilvl w:val="0"/>
                <w:numId w:val="35"/>
              </w:numPr>
            </w:pPr>
            <w:r>
              <w:t xml:space="preserve">For </w:t>
            </w:r>
            <w:r w:rsidRPr="00C01E22">
              <w:t>each computerized table games system, at the application level, obtain the user accessing listing</w:t>
            </w:r>
            <w:r>
              <w:t>:</w:t>
            </w:r>
          </w:p>
          <w:p w14:paraId="283DC0CE" w14:textId="6E047AF0" w:rsidR="003F4026" w:rsidRPr="003F4026" w:rsidRDefault="003F4026" w:rsidP="003F4026">
            <w:pPr>
              <w:pStyle w:val="List"/>
              <w:ind w:left="0" w:firstLine="0"/>
              <w:rPr>
                <w:sz w:val="10"/>
              </w:rPr>
            </w:pPr>
          </w:p>
        </w:tc>
        <w:tc>
          <w:tcPr>
            <w:tcW w:w="1163" w:type="dxa"/>
            <w:shd w:val="clear" w:color="auto" w:fill="D9D9D9"/>
          </w:tcPr>
          <w:p w14:paraId="641A5E26" w14:textId="77777777" w:rsidR="00A52724" w:rsidRDefault="00A52724" w:rsidP="00A52724">
            <w:pPr>
              <w:rPr>
                <w:rFonts w:ascii="Arial" w:hAnsi="Arial" w:cs="Arial"/>
              </w:rPr>
            </w:pPr>
          </w:p>
        </w:tc>
        <w:tc>
          <w:tcPr>
            <w:tcW w:w="1872" w:type="dxa"/>
            <w:shd w:val="clear" w:color="auto" w:fill="D9D9D9"/>
          </w:tcPr>
          <w:p w14:paraId="629AC44D" w14:textId="77777777" w:rsidR="00A52724" w:rsidRDefault="00A52724" w:rsidP="00A52724">
            <w:pPr>
              <w:rPr>
                <w:rFonts w:ascii="Arial" w:hAnsi="Arial" w:cs="Arial"/>
              </w:rPr>
            </w:pPr>
          </w:p>
        </w:tc>
      </w:tr>
      <w:tr w:rsidR="0059251C" w14:paraId="4FA78A68" w14:textId="77777777" w:rsidTr="003F4026">
        <w:trPr>
          <w:cantSplit/>
        </w:trPr>
        <w:tc>
          <w:tcPr>
            <w:tcW w:w="7755" w:type="dxa"/>
            <w:tcMar>
              <w:left w:w="115" w:type="dxa"/>
              <w:bottom w:w="144" w:type="dxa"/>
              <w:right w:w="115" w:type="dxa"/>
            </w:tcMar>
          </w:tcPr>
          <w:p w14:paraId="0D45151D" w14:textId="77777777" w:rsidR="0059251C" w:rsidRPr="003F4026" w:rsidRDefault="00CD4A48">
            <w:pPr>
              <w:pStyle w:val="List"/>
              <w:numPr>
                <w:ilvl w:val="1"/>
                <w:numId w:val="24"/>
              </w:numPr>
              <w:rPr>
                <w:b/>
                <w:bCs/>
                <w:u w:val="single"/>
              </w:rPr>
            </w:pPr>
            <w:r>
              <w:t xml:space="preserve">For computerized systems that have group </w:t>
            </w:r>
            <w:r w:rsidRPr="00C01E22">
              <w:t>membership (group profile)</w:t>
            </w:r>
            <w:r>
              <w:t xml:space="preserve">, </w:t>
            </w:r>
            <w:r w:rsidR="0059251C">
              <w:t>select five group profiles and determine whether the job functions (rights) assigned to the group profile are appropriate for the group.  In addition, select one employee from each of the groups and determine whether the group profile is appropriate for the employee.</w:t>
            </w:r>
          </w:p>
          <w:p w14:paraId="7C08D732" w14:textId="749B84DD" w:rsidR="003F4026" w:rsidRPr="003F4026" w:rsidRDefault="003F4026" w:rsidP="003F4026">
            <w:pPr>
              <w:pStyle w:val="List"/>
              <w:rPr>
                <w:b/>
                <w:bCs/>
                <w:sz w:val="12"/>
                <w:u w:val="single"/>
              </w:rPr>
            </w:pPr>
          </w:p>
        </w:tc>
        <w:tc>
          <w:tcPr>
            <w:tcW w:w="1163" w:type="dxa"/>
          </w:tcPr>
          <w:p w14:paraId="7A349E4F" w14:textId="77777777" w:rsidR="0059251C" w:rsidRDefault="0059251C">
            <w:pPr>
              <w:rPr>
                <w:rFonts w:ascii="Arial" w:hAnsi="Arial" w:cs="Arial"/>
              </w:rPr>
            </w:pPr>
          </w:p>
        </w:tc>
        <w:tc>
          <w:tcPr>
            <w:tcW w:w="1872" w:type="dxa"/>
          </w:tcPr>
          <w:p w14:paraId="4FAA345C" w14:textId="77777777" w:rsidR="0059251C" w:rsidRDefault="0059251C">
            <w:pPr>
              <w:rPr>
                <w:rFonts w:ascii="Arial" w:hAnsi="Arial" w:cs="Arial"/>
              </w:rPr>
            </w:pPr>
          </w:p>
        </w:tc>
      </w:tr>
      <w:tr w:rsidR="0059251C" w14:paraId="77C906E4" w14:textId="77777777" w:rsidTr="003F4026">
        <w:trPr>
          <w:cantSplit/>
        </w:trPr>
        <w:tc>
          <w:tcPr>
            <w:tcW w:w="7755" w:type="dxa"/>
            <w:tcMar>
              <w:left w:w="115" w:type="dxa"/>
              <w:bottom w:w="144" w:type="dxa"/>
              <w:right w:w="115" w:type="dxa"/>
            </w:tcMar>
          </w:tcPr>
          <w:p w14:paraId="0F9F93F0" w14:textId="77777777" w:rsidR="0059251C" w:rsidRDefault="0059251C">
            <w:pPr>
              <w:pStyle w:val="List"/>
              <w:numPr>
                <w:ilvl w:val="1"/>
                <w:numId w:val="24"/>
              </w:numPr>
            </w:pPr>
            <w:r>
              <w:t>For computerized systems that have individual profiles (profiles are customized for each employee), select ten employees, encompassing as many positions as possible, and determine whether the job functions (rights) assigned to each employee are appropriate for the employee.</w:t>
            </w:r>
          </w:p>
          <w:p w14:paraId="6975A194" w14:textId="2E47B2B5" w:rsidR="003F4026" w:rsidRPr="003F4026" w:rsidRDefault="003F4026" w:rsidP="003F4026">
            <w:pPr>
              <w:pStyle w:val="List"/>
              <w:rPr>
                <w:sz w:val="8"/>
              </w:rPr>
            </w:pPr>
          </w:p>
        </w:tc>
        <w:tc>
          <w:tcPr>
            <w:tcW w:w="1163" w:type="dxa"/>
          </w:tcPr>
          <w:p w14:paraId="60C496E3" w14:textId="77777777" w:rsidR="0059251C" w:rsidRDefault="0059251C">
            <w:pPr>
              <w:rPr>
                <w:rFonts w:ascii="Arial" w:hAnsi="Arial" w:cs="Arial"/>
              </w:rPr>
            </w:pPr>
          </w:p>
        </w:tc>
        <w:tc>
          <w:tcPr>
            <w:tcW w:w="1872" w:type="dxa"/>
          </w:tcPr>
          <w:p w14:paraId="70DD606C" w14:textId="77777777" w:rsidR="0059251C" w:rsidRDefault="0059251C">
            <w:pPr>
              <w:rPr>
                <w:rFonts w:ascii="Arial" w:hAnsi="Arial" w:cs="Arial"/>
              </w:rPr>
            </w:pPr>
          </w:p>
        </w:tc>
      </w:tr>
      <w:tr w:rsidR="0059251C" w14:paraId="74A5AB1B" w14:textId="77777777" w:rsidTr="003F4026">
        <w:trPr>
          <w:cantSplit/>
        </w:trPr>
        <w:tc>
          <w:tcPr>
            <w:tcW w:w="7755" w:type="dxa"/>
            <w:tcMar>
              <w:left w:w="115" w:type="dxa"/>
              <w:bottom w:w="144" w:type="dxa"/>
              <w:right w:w="115" w:type="dxa"/>
            </w:tcMar>
          </w:tcPr>
          <w:p w14:paraId="74DEC411" w14:textId="77777777" w:rsidR="0059251C" w:rsidRPr="003F4026" w:rsidRDefault="0059251C">
            <w:pPr>
              <w:pStyle w:val="List"/>
              <w:numPr>
                <w:ilvl w:val="1"/>
                <w:numId w:val="24"/>
              </w:numPr>
              <w:rPr>
                <w:b/>
                <w:bCs/>
                <w:u w:val="single"/>
              </w:rPr>
            </w:pPr>
            <w:r>
              <w:t>Verify that 5 terminated employees</w:t>
            </w:r>
            <w:r>
              <w:rPr>
                <w:szCs w:val="24"/>
              </w:rPr>
              <w:t>, which occurred during the review period,</w:t>
            </w:r>
            <w:r>
              <w:t xml:space="preserve"> have been changed in the system</w:t>
            </w:r>
            <w:r w:rsidR="00C01E22">
              <w:t xml:space="preserve"> from active to inactive status</w:t>
            </w:r>
            <w:r>
              <w:t xml:space="preserve">. </w:t>
            </w:r>
          </w:p>
          <w:p w14:paraId="761A5C2D" w14:textId="77FB0AEB" w:rsidR="003F4026" w:rsidRPr="003F4026" w:rsidRDefault="003F4026" w:rsidP="003F4026">
            <w:pPr>
              <w:pStyle w:val="List"/>
              <w:rPr>
                <w:b/>
                <w:bCs/>
                <w:sz w:val="8"/>
                <w:u w:val="single"/>
              </w:rPr>
            </w:pPr>
          </w:p>
        </w:tc>
        <w:tc>
          <w:tcPr>
            <w:tcW w:w="1163" w:type="dxa"/>
          </w:tcPr>
          <w:p w14:paraId="6C4F1438" w14:textId="77777777" w:rsidR="0059251C" w:rsidRDefault="0059251C">
            <w:pPr>
              <w:rPr>
                <w:rFonts w:ascii="Arial" w:hAnsi="Arial" w:cs="Arial"/>
              </w:rPr>
            </w:pPr>
          </w:p>
        </w:tc>
        <w:tc>
          <w:tcPr>
            <w:tcW w:w="1872" w:type="dxa"/>
          </w:tcPr>
          <w:p w14:paraId="30C79B83" w14:textId="77777777" w:rsidR="0059251C" w:rsidRDefault="0059251C">
            <w:pPr>
              <w:rPr>
                <w:rFonts w:ascii="Arial" w:hAnsi="Arial" w:cs="Arial"/>
              </w:rPr>
            </w:pPr>
          </w:p>
        </w:tc>
      </w:tr>
      <w:tr w:rsidR="00CD4A48" w14:paraId="12412C6A" w14:textId="77777777" w:rsidTr="003F4026">
        <w:trPr>
          <w:cantSplit/>
        </w:trPr>
        <w:tc>
          <w:tcPr>
            <w:tcW w:w="7755" w:type="dxa"/>
            <w:tcMar>
              <w:left w:w="115" w:type="dxa"/>
              <w:bottom w:w="144" w:type="dxa"/>
              <w:right w:w="115" w:type="dxa"/>
            </w:tcMar>
          </w:tcPr>
          <w:p w14:paraId="12A225B2" w14:textId="77777777" w:rsidR="00CD4A48" w:rsidRPr="00C01E22" w:rsidRDefault="00CD4A48">
            <w:pPr>
              <w:pStyle w:val="List"/>
              <w:numPr>
                <w:ilvl w:val="1"/>
                <w:numId w:val="24"/>
              </w:numPr>
            </w:pPr>
            <w:r w:rsidRPr="00C01E22">
              <w:t>Verify that 5 active employees have changed their password</w:t>
            </w:r>
            <w:r w:rsidR="00311CE2" w:rsidRPr="00C01E22">
              <w:t>s</w:t>
            </w:r>
            <w:r w:rsidRPr="00C01E22">
              <w:t xml:space="preserve"> within the last 90 days.</w:t>
            </w:r>
          </w:p>
        </w:tc>
        <w:tc>
          <w:tcPr>
            <w:tcW w:w="1163" w:type="dxa"/>
          </w:tcPr>
          <w:p w14:paraId="718CCCF1" w14:textId="77777777" w:rsidR="00CD4A48" w:rsidRDefault="00CD4A48">
            <w:pPr>
              <w:rPr>
                <w:rFonts w:ascii="Arial" w:hAnsi="Arial" w:cs="Arial"/>
              </w:rPr>
            </w:pPr>
          </w:p>
        </w:tc>
        <w:tc>
          <w:tcPr>
            <w:tcW w:w="1872" w:type="dxa"/>
          </w:tcPr>
          <w:p w14:paraId="419F2AFE" w14:textId="77777777" w:rsidR="00CD4A48" w:rsidRDefault="00CD4A48">
            <w:pPr>
              <w:rPr>
                <w:rFonts w:ascii="Arial" w:hAnsi="Arial" w:cs="Arial"/>
              </w:rPr>
            </w:pPr>
          </w:p>
        </w:tc>
      </w:tr>
      <w:tr w:rsidR="0059251C" w14:paraId="24EC5ADA" w14:textId="77777777" w:rsidTr="003F4026">
        <w:trPr>
          <w:cantSplit/>
        </w:trPr>
        <w:tc>
          <w:tcPr>
            <w:tcW w:w="7755" w:type="dxa"/>
            <w:tcMar>
              <w:left w:w="115" w:type="dxa"/>
              <w:bottom w:w="144" w:type="dxa"/>
              <w:right w:w="115" w:type="dxa"/>
            </w:tcMar>
          </w:tcPr>
          <w:p w14:paraId="322B31BF" w14:textId="77777777" w:rsidR="003F4026" w:rsidRPr="003F4026" w:rsidRDefault="003F4026">
            <w:pPr>
              <w:pStyle w:val="List"/>
              <w:ind w:left="0" w:firstLine="0"/>
              <w:rPr>
                <w:b/>
                <w:bCs/>
                <w:sz w:val="8"/>
                <w:u w:val="single"/>
              </w:rPr>
            </w:pPr>
          </w:p>
          <w:p w14:paraId="6951A5B0" w14:textId="2114B331" w:rsidR="0059251C" w:rsidRDefault="0059251C">
            <w:pPr>
              <w:pStyle w:val="List"/>
              <w:ind w:left="0" w:firstLine="0"/>
              <w:rPr>
                <w:b/>
                <w:bCs/>
                <w:u w:val="single"/>
              </w:rPr>
            </w:pPr>
            <w:r>
              <w:rPr>
                <w:b/>
                <w:bCs/>
                <w:u w:val="single"/>
              </w:rPr>
              <w:t>Procedures Modified or Added:</w:t>
            </w:r>
          </w:p>
        </w:tc>
        <w:tc>
          <w:tcPr>
            <w:tcW w:w="1163" w:type="dxa"/>
          </w:tcPr>
          <w:p w14:paraId="7C4E4034" w14:textId="77777777" w:rsidR="0059251C" w:rsidRDefault="0059251C">
            <w:pPr>
              <w:rPr>
                <w:rFonts w:ascii="Arial" w:hAnsi="Arial" w:cs="Arial"/>
              </w:rPr>
            </w:pPr>
          </w:p>
        </w:tc>
        <w:tc>
          <w:tcPr>
            <w:tcW w:w="1872" w:type="dxa"/>
          </w:tcPr>
          <w:p w14:paraId="610200FA" w14:textId="77777777" w:rsidR="0059251C" w:rsidRDefault="0059251C">
            <w:pPr>
              <w:rPr>
                <w:rFonts w:ascii="Arial" w:hAnsi="Arial" w:cs="Arial"/>
              </w:rPr>
            </w:pPr>
          </w:p>
        </w:tc>
      </w:tr>
      <w:tr w:rsidR="0059251C" w14:paraId="20C891DB" w14:textId="77777777" w:rsidTr="003F4026">
        <w:trPr>
          <w:cantSplit/>
        </w:trPr>
        <w:tc>
          <w:tcPr>
            <w:tcW w:w="7755" w:type="dxa"/>
            <w:tcMar>
              <w:left w:w="115" w:type="dxa"/>
              <w:bottom w:w="144" w:type="dxa"/>
              <w:right w:w="115" w:type="dxa"/>
            </w:tcMar>
          </w:tcPr>
          <w:p w14:paraId="1A66237B" w14:textId="77777777" w:rsidR="00512470" w:rsidRPr="003F4026" w:rsidRDefault="00512470">
            <w:pPr>
              <w:pStyle w:val="List"/>
              <w:ind w:left="0" w:firstLine="0"/>
              <w:rPr>
                <w:b/>
                <w:bCs/>
                <w:sz w:val="32"/>
                <w:u w:val="single"/>
              </w:rPr>
            </w:pPr>
          </w:p>
        </w:tc>
        <w:tc>
          <w:tcPr>
            <w:tcW w:w="1163" w:type="dxa"/>
          </w:tcPr>
          <w:p w14:paraId="5B6BE7B2" w14:textId="77777777" w:rsidR="0059251C" w:rsidRDefault="0059251C">
            <w:pPr>
              <w:rPr>
                <w:rFonts w:ascii="Arial" w:hAnsi="Arial" w:cs="Arial"/>
              </w:rPr>
            </w:pPr>
          </w:p>
        </w:tc>
        <w:tc>
          <w:tcPr>
            <w:tcW w:w="1872" w:type="dxa"/>
          </w:tcPr>
          <w:p w14:paraId="55A4727A" w14:textId="77777777" w:rsidR="0059251C" w:rsidRDefault="0059251C">
            <w:pPr>
              <w:rPr>
                <w:rFonts w:ascii="Arial" w:hAnsi="Arial" w:cs="Arial"/>
              </w:rPr>
            </w:pPr>
          </w:p>
        </w:tc>
      </w:tr>
      <w:tr w:rsidR="00512470" w14:paraId="56EECA2B" w14:textId="77777777" w:rsidTr="003F4026">
        <w:trPr>
          <w:cantSplit/>
        </w:trPr>
        <w:tc>
          <w:tcPr>
            <w:tcW w:w="7755" w:type="dxa"/>
            <w:tcMar>
              <w:left w:w="115" w:type="dxa"/>
              <w:bottom w:w="144" w:type="dxa"/>
              <w:right w:w="115" w:type="dxa"/>
            </w:tcMar>
          </w:tcPr>
          <w:p w14:paraId="086FFE2E" w14:textId="77777777" w:rsidR="00512470" w:rsidRPr="003F4026" w:rsidRDefault="00512470">
            <w:pPr>
              <w:pStyle w:val="List"/>
              <w:ind w:left="0" w:firstLine="0"/>
              <w:rPr>
                <w:b/>
                <w:bCs/>
                <w:sz w:val="32"/>
                <w:u w:val="single"/>
              </w:rPr>
            </w:pPr>
          </w:p>
        </w:tc>
        <w:tc>
          <w:tcPr>
            <w:tcW w:w="1163" w:type="dxa"/>
          </w:tcPr>
          <w:p w14:paraId="4B76DBB7" w14:textId="77777777" w:rsidR="00512470" w:rsidRDefault="00512470">
            <w:pPr>
              <w:rPr>
                <w:rFonts w:ascii="Arial" w:hAnsi="Arial" w:cs="Arial"/>
              </w:rPr>
            </w:pPr>
          </w:p>
        </w:tc>
        <w:tc>
          <w:tcPr>
            <w:tcW w:w="1872" w:type="dxa"/>
          </w:tcPr>
          <w:p w14:paraId="29D7CD61" w14:textId="77777777" w:rsidR="00512470" w:rsidRDefault="00512470">
            <w:pPr>
              <w:rPr>
                <w:rFonts w:ascii="Arial" w:hAnsi="Arial" w:cs="Arial"/>
              </w:rPr>
            </w:pPr>
          </w:p>
        </w:tc>
      </w:tr>
      <w:tr w:rsidR="00512470" w14:paraId="5BD2D64B" w14:textId="77777777" w:rsidTr="003F4026">
        <w:trPr>
          <w:cantSplit/>
        </w:trPr>
        <w:tc>
          <w:tcPr>
            <w:tcW w:w="7755" w:type="dxa"/>
            <w:tcMar>
              <w:left w:w="115" w:type="dxa"/>
              <w:bottom w:w="144" w:type="dxa"/>
              <w:right w:w="115" w:type="dxa"/>
            </w:tcMar>
          </w:tcPr>
          <w:p w14:paraId="7038F5D5" w14:textId="77777777" w:rsidR="00512470" w:rsidRPr="003F4026" w:rsidRDefault="00512470">
            <w:pPr>
              <w:pStyle w:val="List"/>
              <w:ind w:left="0" w:firstLine="0"/>
              <w:rPr>
                <w:b/>
                <w:bCs/>
                <w:sz w:val="32"/>
                <w:u w:val="single"/>
              </w:rPr>
            </w:pPr>
          </w:p>
        </w:tc>
        <w:tc>
          <w:tcPr>
            <w:tcW w:w="1163" w:type="dxa"/>
          </w:tcPr>
          <w:p w14:paraId="543BECE1" w14:textId="77777777" w:rsidR="00512470" w:rsidRDefault="00512470">
            <w:pPr>
              <w:rPr>
                <w:rFonts w:ascii="Arial" w:hAnsi="Arial" w:cs="Arial"/>
              </w:rPr>
            </w:pPr>
          </w:p>
        </w:tc>
        <w:tc>
          <w:tcPr>
            <w:tcW w:w="1872" w:type="dxa"/>
          </w:tcPr>
          <w:p w14:paraId="19FB615C" w14:textId="77777777" w:rsidR="00512470" w:rsidRDefault="00512470">
            <w:pPr>
              <w:rPr>
                <w:rFonts w:ascii="Arial" w:hAnsi="Arial" w:cs="Arial"/>
              </w:rPr>
            </w:pPr>
          </w:p>
        </w:tc>
      </w:tr>
    </w:tbl>
    <w:p w14:paraId="499048BD" w14:textId="77777777" w:rsidR="0059251C" w:rsidRDefault="0059251C">
      <w:pPr>
        <w:pStyle w:val="Header"/>
        <w:tabs>
          <w:tab w:val="clear" w:pos="4320"/>
          <w:tab w:val="clear" w:pos="8640"/>
        </w:tabs>
        <w:rPr>
          <w:rFonts w:ascii="Arial" w:hAnsi="Arial" w:cs="Arial"/>
        </w:rPr>
      </w:pPr>
    </w:p>
    <w:sectPr w:rsidR="0059251C" w:rsidSect="004354D4">
      <w:headerReference w:type="default" r:id="rId7"/>
      <w:footerReference w:type="default" r:id="rId8"/>
      <w:type w:val="continuous"/>
      <w:pgSz w:w="12240" w:h="15840" w:code="1"/>
      <w:pgMar w:top="720" w:right="720" w:bottom="720" w:left="720" w:header="720" w:footer="9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E4DC" w14:textId="77777777" w:rsidR="00E63593" w:rsidRDefault="00E63593">
      <w:r>
        <w:separator/>
      </w:r>
    </w:p>
  </w:endnote>
  <w:endnote w:type="continuationSeparator" w:id="0">
    <w:p w14:paraId="5DADAAA4" w14:textId="77777777" w:rsidR="00E63593" w:rsidRDefault="00E6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DD43" w14:textId="77777777" w:rsidR="00E63593" w:rsidRDefault="00E63593">
    <w:pPr>
      <w:pStyle w:val="Footer"/>
    </w:pPr>
    <w:r>
      <w:t xml:space="preserve">    </w:t>
    </w:r>
    <w:r>
      <w:rPr>
        <w:b/>
        <w:bCs/>
      </w:rPr>
      <w:sym w:font="Wingdings" w:char="F0FC"/>
    </w:r>
    <w:r>
      <w:rPr>
        <w:b/>
        <w:bCs/>
      </w:rPr>
      <w:t xml:space="preserve"> </w:t>
    </w:r>
    <w:r>
      <w:t>- Step completed without exception</w:t>
    </w:r>
  </w:p>
  <w:p w14:paraId="351C20D1" w14:textId="77777777" w:rsidR="00E63593" w:rsidRDefault="00E63593">
    <w:pPr>
      <w:pStyle w:val="Footer"/>
      <w:tabs>
        <w:tab w:val="clear" w:pos="4320"/>
        <w:tab w:val="clear" w:pos="8640"/>
        <w:tab w:val="left" w:pos="975"/>
        <w:tab w:val="left" w:pos="1410"/>
      </w:tabs>
    </w:pPr>
    <w:r>
      <w:tab/>
    </w:r>
    <w:r>
      <w:tab/>
    </w:r>
  </w:p>
  <w:p w14:paraId="1323C4B9" w14:textId="04527DFB" w:rsidR="00E63593" w:rsidRPr="00CB58BD" w:rsidRDefault="00E63593" w:rsidP="00500690">
    <w:pPr>
      <w:pStyle w:val="Footer"/>
      <w:rPr>
        <w:b/>
        <w:u w:val="single"/>
      </w:rPr>
    </w:pPr>
    <w:r>
      <w:t xml:space="preserve">VERSION </w:t>
    </w:r>
    <w:r w:rsidR="004354D4">
      <w:t>9</w:t>
    </w:r>
  </w:p>
  <w:p w14:paraId="5E3EBC08" w14:textId="002CB329" w:rsidR="00E63593" w:rsidRDefault="00E63593" w:rsidP="00500690">
    <w:pPr>
      <w:pStyle w:val="Footer"/>
    </w:pPr>
    <w:r>
      <w:t xml:space="preserve">EFFECTIVE:  </w:t>
    </w:r>
    <w:r w:rsidR="004354D4">
      <w:t>April 1, 2023</w:t>
    </w:r>
    <w:r>
      <w:tab/>
    </w:r>
    <w:r>
      <w:tab/>
      <w:t xml:space="preserve">     </w:t>
    </w:r>
    <w:r>
      <w:tab/>
      <w:t xml:space="preserve">Page </w:t>
    </w:r>
    <w:r w:rsidR="004354D4">
      <w:fldChar w:fldCharType="begin"/>
    </w:r>
    <w:r w:rsidR="004354D4">
      <w:instrText xml:space="preserve"> PAGE  </w:instrText>
    </w:r>
    <w:r w:rsidR="004354D4">
      <w:fldChar w:fldCharType="separate"/>
    </w:r>
    <w:r w:rsidR="004354D4">
      <w:rPr>
        <w:noProof/>
      </w:rPr>
      <w:t>5</w:t>
    </w:r>
    <w:r w:rsidR="004354D4">
      <w:fldChar w:fldCharType="end"/>
    </w:r>
    <w:r w:rsidR="00E35C52">
      <w:t xml:space="preserve"> of </w:t>
    </w:r>
    <w:r w:rsidR="00576EDF">
      <w:fldChar w:fldCharType="begin"/>
    </w:r>
    <w:r w:rsidR="00576EDF">
      <w:instrText xml:space="preserve"> NUMPAGES  </w:instrText>
    </w:r>
    <w:r w:rsidR="00576EDF">
      <w:fldChar w:fldCharType="separate"/>
    </w:r>
    <w:r w:rsidR="004354D4">
      <w:rPr>
        <w:noProof/>
      </w:rPr>
      <w:t>5</w:t>
    </w:r>
    <w:r w:rsidR="00576ED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B27A1" w14:textId="77777777" w:rsidR="00E63593" w:rsidRDefault="00E63593">
      <w:r>
        <w:separator/>
      </w:r>
    </w:p>
  </w:footnote>
  <w:footnote w:type="continuationSeparator" w:id="0">
    <w:p w14:paraId="3CF2E5A9" w14:textId="77777777" w:rsidR="00E63593" w:rsidRDefault="00E6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D8F5" w14:textId="3129A056" w:rsidR="00E63593" w:rsidRDefault="00E63593">
    <w:pPr>
      <w:pStyle w:val="Header"/>
      <w:jc w:val="center"/>
    </w:pPr>
    <w:r>
      <w:rPr>
        <w:noProof/>
      </w:rPr>
      <mc:AlternateContent>
        <mc:Choice Requires="wps">
          <w:drawing>
            <wp:anchor distT="0" distB="0" distL="114300" distR="114300" simplePos="0" relativeHeight="251661312" behindDoc="0" locked="0" layoutInCell="1" allowOverlap="1" wp14:anchorId="515DD7BB" wp14:editId="182A1214">
              <wp:simplePos x="0" y="0"/>
              <wp:positionH relativeFrom="column">
                <wp:posOffset>5042535</wp:posOffset>
              </wp:positionH>
              <wp:positionV relativeFrom="paragraph">
                <wp:posOffset>116840</wp:posOffset>
              </wp:positionV>
              <wp:extent cx="144780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4BA26A9" w14:textId="77777777" w:rsidR="00E63593" w:rsidRDefault="00E63593" w:rsidP="004354D4">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DD7BB" id="_x0000_t202" coordsize="21600,21600" o:spt="202" path="m,l,21600r21600,l21600,xe">
              <v:stroke joinstyle="miter"/>
              <v:path gradientshapeok="t" o:connecttype="rect"/>
            </v:shapetype>
            <v:shape id="Text Box 14" o:spid="_x0000_s1026" type="#_x0000_t202" style="position:absolute;left:0;text-align:left;margin-left:397.05pt;margin-top:9.2pt;width:11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n4JwIAAFE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">
              <v:textbox>
                <w:txbxContent>
                  <w:p w14:paraId="04BA26A9" w14:textId="77777777" w:rsidR="00E63593" w:rsidRDefault="00E63593" w:rsidP="004354D4">
                    <w:pPr>
                      <w:jc w:val="center"/>
                      <w:rPr>
                        <w:sz w:val="16"/>
                        <w:szCs w:val="16"/>
                      </w:rPr>
                    </w:pPr>
                    <w:r>
                      <w:rPr>
                        <w:sz w:val="16"/>
                        <w:szCs w:val="16"/>
                      </w:rPr>
                      <w:t>Auditor’s Name and Date</w:t>
                    </w:r>
                  </w:p>
                </w:txbxContent>
              </v:textbox>
            </v:shape>
          </w:pict>
        </mc:Fallback>
      </mc:AlternateContent>
    </w:r>
  </w:p>
  <w:p w14:paraId="1D900E17" w14:textId="77777777" w:rsidR="00E63593" w:rsidRDefault="00E63593">
    <w:pPr>
      <w:pStyle w:val="Header"/>
      <w:jc w:val="center"/>
    </w:pPr>
    <w:r>
      <w:t>Nevada Gaming Control Board</w:t>
    </w:r>
  </w:p>
  <w:p w14:paraId="3A794F17" w14:textId="77777777" w:rsidR="00E63593" w:rsidRDefault="00E63593">
    <w:pPr>
      <w:pStyle w:val="Header"/>
      <w:jc w:val="center"/>
    </w:pPr>
    <w:r>
      <w:rPr>
        <w:noProof/>
      </w:rPr>
      <mc:AlternateContent>
        <mc:Choice Requires="wps">
          <w:drawing>
            <wp:anchor distT="0" distB="0" distL="114300" distR="114300" simplePos="0" relativeHeight="251660288" behindDoc="0" locked="0" layoutInCell="1" allowOverlap="1" wp14:anchorId="21044762" wp14:editId="3C334455">
              <wp:simplePos x="0" y="0"/>
              <wp:positionH relativeFrom="column">
                <wp:posOffset>5042535</wp:posOffset>
              </wp:positionH>
              <wp:positionV relativeFrom="paragraph">
                <wp:posOffset>46990</wp:posOffset>
              </wp:positionV>
              <wp:extent cx="1447800" cy="2286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1C9C4F3A" w14:textId="77777777" w:rsidR="00E63593" w:rsidRDefault="00E63593">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4762" id="Text Box 13" o:spid="_x0000_s1027" type="#_x0000_t202" style="position:absolute;left:0;text-align:left;margin-left:397.05pt;margin-top:3.7pt;width:11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4UwKwIAAFg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">
              <v:textbox>
                <w:txbxContent>
                  <w:p w14:paraId="1C9C4F3A" w14:textId="77777777" w:rsidR="00E63593" w:rsidRDefault="00E63593">
                    <w:pPr>
                      <w:pStyle w:val="Header"/>
                      <w:tabs>
                        <w:tab w:val="clear" w:pos="4320"/>
                        <w:tab w:val="clear" w:pos="8640"/>
                      </w:tabs>
                    </w:pPr>
                  </w:p>
                </w:txbxContent>
              </v:textbox>
            </v:shape>
          </w:pict>
        </mc:Fallback>
      </mc:AlternateContent>
    </w:r>
  </w:p>
  <w:p w14:paraId="5ADBEAD0" w14:textId="77777777" w:rsidR="00E63593" w:rsidRDefault="00E63593">
    <w:pPr>
      <w:pStyle w:val="Header"/>
      <w:jc w:val="center"/>
      <w:rPr>
        <w:b/>
        <w:bCs/>
      </w:rPr>
    </w:pPr>
    <w:r>
      <w:rPr>
        <w:b/>
        <w:bCs/>
      </w:rPr>
      <w:t>Internal Audit Compliance Checklist</w:t>
    </w:r>
  </w:p>
  <w:p w14:paraId="41CC1603" w14:textId="77777777" w:rsidR="00E63593" w:rsidRDefault="00E63593">
    <w:pPr>
      <w:pStyle w:val="Header"/>
      <w:jc w:val="center"/>
    </w:pPr>
  </w:p>
  <w:p w14:paraId="4D7552DF" w14:textId="77777777" w:rsidR="00E63593" w:rsidRDefault="00E63593">
    <w:pPr>
      <w:pStyle w:val="Header"/>
      <w:jc w:val="center"/>
      <w:rPr>
        <w:b/>
        <w:bCs/>
      </w:rPr>
    </w:pPr>
    <w:r>
      <w:rPr>
        <w:b/>
        <w:bCs/>
      </w:rPr>
      <w:t>TABLE GAMES</w:t>
    </w:r>
  </w:p>
  <w:p w14:paraId="28F9106D" w14:textId="77777777" w:rsidR="00E63593" w:rsidRDefault="00E63593">
    <w:pPr>
      <w:pStyle w:val="Header"/>
      <w:jc w:val="center"/>
    </w:pPr>
    <w:r>
      <w:rPr>
        <w:b/>
        <w:bCs/>
      </w:rPr>
      <w:t>TESTING PROCEDURES</w:t>
    </w:r>
    <w:r>
      <w:t xml:space="preserve">  </w:t>
    </w:r>
  </w:p>
  <w:p w14:paraId="75F7F026" w14:textId="77777777" w:rsidR="00E63593" w:rsidRDefault="00E63593">
    <w:pPr>
      <w:pStyle w:val="Header"/>
      <w:jc w:val="center"/>
    </w:pPr>
    <w:r>
      <w:t xml:space="preserve">  </w:t>
    </w:r>
  </w:p>
  <w:p w14:paraId="43C4D7BE" w14:textId="77777777" w:rsidR="00E63593" w:rsidRDefault="00E63593">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E63593" w14:paraId="7B0B5D57" w14:textId="77777777">
      <w:tc>
        <w:tcPr>
          <w:tcW w:w="1188" w:type="dxa"/>
          <w:tcBorders>
            <w:top w:val="nil"/>
            <w:left w:val="nil"/>
            <w:bottom w:val="nil"/>
            <w:right w:val="nil"/>
          </w:tcBorders>
        </w:tcPr>
        <w:p w14:paraId="71956A43" w14:textId="77777777" w:rsidR="00E63593" w:rsidRDefault="00E63593">
          <w:pPr>
            <w:pStyle w:val="Header"/>
          </w:pPr>
          <w:r>
            <w:t>Licensee:</w:t>
          </w:r>
        </w:p>
      </w:tc>
      <w:tc>
        <w:tcPr>
          <w:tcW w:w="4320" w:type="dxa"/>
          <w:tcBorders>
            <w:top w:val="nil"/>
            <w:left w:val="nil"/>
            <w:bottom w:val="single" w:sz="4" w:space="0" w:color="auto"/>
            <w:right w:val="nil"/>
          </w:tcBorders>
        </w:tcPr>
        <w:p w14:paraId="0C1A8F2B" w14:textId="77777777" w:rsidR="00E63593" w:rsidRDefault="00E63593">
          <w:pPr>
            <w:pStyle w:val="Header"/>
          </w:pPr>
        </w:p>
      </w:tc>
      <w:tc>
        <w:tcPr>
          <w:tcW w:w="1620" w:type="dxa"/>
          <w:tcBorders>
            <w:top w:val="nil"/>
            <w:left w:val="nil"/>
            <w:bottom w:val="nil"/>
            <w:right w:val="nil"/>
          </w:tcBorders>
        </w:tcPr>
        <w:p w14:paraId="71F31DCA" w14:textId="77777777" w:rsidR="00E63593" w:rsidRDefault="00E63593">
          <w:pPr>
            <w:pStyle w:val="Header"/>
          </w:pPr>
          <w:r>
            <w:t>Review Period:</w:t>
          </w:r>
        </w:p>
      </w:tc>
      <w:tc>
        <w:tcPr>
          <w:tcW w:w="3312" w:type="dxa"/>
          <w:tcBorders>
            <w:top w:val="nil"/>
            <w:left w:val="nil"/>
            <w:bottom w:val="single" w:sz="4" w:space="0" w:color="auto"/>
            <w:right w:val="nil"/>
          </w:tcBorders>
        </w:tcPr>
        <w:p w14:paraId="16CABEEE" w14:textId="77777777" w:rsidR="00E63593" w:rsidRDefault="00E63593">
          <w:pPr>
            <w:pStyle w:val="Header"/>
          </w:pPr>
        </w:p>
      </w:tc>
    </w:tr>
  </w:tbl>
  <w:p w14:paraId="7E08CB3D" w14:textId="77777777" w:rsidR="00E63593" w:rsidRDefault="00E6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3FC06F3"/>
    <w:multiLevelType w:val="multilevel"/>
    <w:tmpl w:val="6EC29936"/>
    <w:lvl w:ilvl="0">
      <w:start w:val="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E61D16"/>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895697A"/>
    <w:multiLevelType w:val="hybridMultilevel"/>
    <w:tmpl w:val="9208D7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C85CA9"/>
    <w:multiLevelType w:val="hybridMultilevel"/>
    <w:tmpl w:val="F62A4D9C"/>
    <w:lvl w:ilvl="0" w:tplc="423C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F3155"/>
    <w:multiLevelType w:val="multilevel"/>
    <w:tmpl w:val="10308636"/>
    <w:lvl w:ilvl="0">
      <w:start w:val="5"/>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0CFB18D0"/>
    <w:multiLevelType w:val="multilevel"/>
    <w:tmpl w:val="CF8824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14F11498"/>
    <w:multiLevelType w:val="multilevel"/>
    <w:tmpl w:val="1AFA30BC"/>
    <w:lvl w:ilvl="0">
      <w:start w:val="19"/>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161A12FF"/>
    <w:multiLevelType w:val="hybridMultilevel"/>
    <w:tmpl w:val="C916D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CA5C85"/>
    <w:multiLevelType w:val="singleLevel"/>
    <w:tmpl w:val="3CC827C6"/>
    <w:lvl w:ilvl="0">
      <w:start w:val="1"/>
      <w:numFmt w:val="lowerLetter"/>
      <w:lvlText w:val="%1. "/>
      <w:legacy w:legacy="1" w:legacySpace="0" w:legacyIndent="360"/>
      <w:lvlJc w:val="left"/>
      <w:pPr>
        <w:ind w:left="360" w:hanging="360"/>
      </w:pPr>
      <w:rPr>
        <w:b w:val="0"/>
        <w:i w:val="0"/>
        <w:sz w:val="24"/>
        <w:szCs w:val="24"/>
      </w:rPr>
    </w:lvl>
  </w:abstractNum>
  <w:abstractNum w:abstractNumId="10" w15:restartNumberingAfterBreak="0">
    <w:nsid w:val="1D8110AC"/>
    <w:multiLevelType w:val="hybridMultilevel"/>
    <w:tmpl w:val="8E4C9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C17A2"/>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20D07D86"/>
    <w:multiLevelType w:val="multilevel"/>
    <w:tmpl w:val="1A8CE014"/>
    <w:lvl w:ilvl="0">
      <w:start w:val="5"/>
      <w:numFmt w:val="decimal"/>
      <w:lvlText w:val="%1."/>
      <w:lvlJc w:val="left"/>
      <w:pPr>
        <w:tabs>
          <w:tab w:val="num" w:pos="360"/>
        </w:tabs>
        <w:ind w:left="360" w:hanging="360"/>
      </w:pPr>
      <w:rPr>
        <w:rFonts w:ascii="Times New Roman" w:hAnsi="Times New Roman" w:hint="default"/>
        <w:b w:val="0"/>
        <w:i w:val="0"/>
        <w:sz w:val="20"/>
      </w:rPr>
    </w:lvl>
    <w:lvl w:ilvl="1">
      <w:start w:val="3"/>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20E407FA"/>
    <w:multiLevelType w:val="multilevel"/>
    <w:tmpl w:val="FC7E231A"/>
    <w:lvl w:ilvl="0">
      <w:start w:val="6"/>
      <w:numFmt w:val="decimal"/>
      <w:lvlText w:val="%1."/>
      <w:lvlJc w:val="left"/>
      <w:pPr>
        <w:tabs>
          <w:tab w:val="num" w:pos="1080"/>
        </w:tabs>
        <w:ind w:left="1080" w:hanging="360"/>
      </w:pPr>
      <w:rPr>
        <w:rFonts w:ascii="Times New Roman" w:hAnsi="Times New Roman" w:hint="default"/>
        <w:b w:val="0"/>
        <w:i w:val="0"/>
        <w:sz w:val="20"/>
      </w:rPr>
    </w:lvl>
    <w:lvl w:ilvl="1">
      <w:start w:val="1"/>
      <w:numFmt w:val="lowerLetter"/>
      <w:lvlText w:val="%2."/>
      <w:lvlJc w:val="left"/>
      <w:pPr>
        <w:tabs>
          <w:tab w:val="num" w:pos="1440"/>
        </w:tabs>
        <w:ind w:left="1080" w:firstLine="0"/>
      </w:pPr>
      <w:rPr>
        <w:rFonts w:ascii="Times New Roman" w:hAnsi="Times New Roman" w:hint="default"/>
        <w:sz w:val="20"/>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Restart w:val="0"/>
      <w:lvlText w:val="(%6)"/>
      <w:lvlJc w:val="left"/>
      <w:pPr>
        <w:tabs>
          <w:tab w:val="num" w:pos="504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15" w15:restartNumberingAfterBreak="0">
    <w:nsid w:val="211C6EB9"/>
    <w:multiLevelType w:val="multilevel"/>
    <w:tmpl w:val="0494F212"/>
    <w:lvl w:ilvl="0">
      <w:start w:val="16"/>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284218C2"/>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2A01269D"/>
    <w:multiLevelType w:val="multilevel"/>
    <w:tmpl w:val="10308636"/>
    <w:lvl w:ilvl="0">
      <w:start w:val="5"/>
      <w:numFmt w:val="decimal"/>
      <w:lvlText w:val="%1."/>
      <w:lvlJc w:val="left"/>
      <w:pPr>
        <w:tabs>
          <w:tab w:val="num" w:pos="1080"/>
        </w:tabs>
        <w:ind w:left="1080" w:hanging="360"/>
      </w:pPr>
      <w:rPr>
        <w:rFonts w:ascii="Times New Roman" w:hAnsi="Times New Roman" w:hint="default"/>
        <w:b w:val="0"/>
        <w:i w:val="0"/>
        <w:sz w:val="20"/>
      </w:rPr>
    </w:lvl>
    <w:lvl w:ilvl="1">
      <w:start w:val="1"/>
      <w:numFmt w:val="lowerLetter"/>
      <w:lvlText w:val="%2)"/>
      <w:lvlJc w:val="left"/>
      <w:pPr>
        <w:tabs>
          <w:tab w:val="num" w:pos="1440"/>
        </w:tabs>
        <w:ind w:left="1080" w:firstLine="0"/>
      </w:pPr>
      <w:rPr>
        <w:rFonts w:ascii="Times New Roman" w:hAnsi="Times New Roman" w:hint="default"/>
        <w:sz w:val="20"/>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Restart w:val="0"/>
      <w:lvlText w:val="(%6)"/>
      <w:lvlJc w:val="left"/>
      <w:pPr>
        <w:tabs>
          <w:tab w:val="num" w:pos="504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18" w15:restartNumberingAfterBreak="0">
    <w:nsid w:val="2AC45531"/>
    <w:multiLevelType w:val="hybridMultilevel"/>
    <w:tmpl w:val="0FEC3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5665B"/>
    <w:multiLevelType w:val="multilevel"/>
    <w:tmpl w:val="C0089D0A"/>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0" w15:restartNumberingAfterBreak="0">
    <w:nsid w:val="2F411F2F"/>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327038C3"/>
    <w:multiLevelType w:val="hybridMultilevel"/>
    <w:tmpl w:val="8A660D12"/>
    <w:lvl w:ilvl="0" w:tplc="0409000F">
      <w:start w:val="1"/>
      <w:numFmt w:val="decimal"/>
      <w:lvlText w:val="%1."/>
      <w:lvlJc w:val="left"/>
      <w:pPr>
        <w:tabs>
          <w:tab w:val="num" w:pos="1055"/>
        </w:tabs>
        <w:ind w:left="1055" w:hanging="360"/>
      </w:p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22" w15:restartNumberingAfterBreak="0">
    <w:nsid w:val="335C11EE"/>
    <w:multiLevelType w:val="hybridMultilevel"/>
    <w:tmpl w:val="3184D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6F372A"/>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432A6342"/>
    <w:multiLevelType w:val="singleLevel"/>
    <w:tmpl w:val="6192A4AA"/>
    <w:lvl w:ilvl="0">
      <w:start w:val="1"/>
      <w:numFmt w:val="lowerLetter"/>
      <w:lvlText w:val="%1. "/>
      <w:legacy w:legacy="1" w:legacySpace="0" w:legacyIndent="360"/>
      <w:lvlJc w:val="left"/>
      <w:pPr>
        <w:ind w:left="360" w:hanging="360"/>
      </w:pPr>
      <w:rPr>
        <w:b w:val="0"/>
        <w:i w:val="0"/>
        <w:sz w:val="24"/>
        <w:szCs w:val="24"/>
      </w:rPr>
    </w:lvl>
  </w:abstractNum>
  <w:abstractNum w:abstractNumId="25" w15:restartNumberingAfterBreak="0">
    <w:nsid w:val="4395759E"/>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 w15:restartNumberingAfterBreak="0">
    <w:nsid w:val="460F7865"/>
    <w:multiLevelType w:val="multilevel"/>
    <w:tmpl w:val="3B601E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 w15:restartNumberingAfterBreak="0">
    <w:nsid w:val="4A001653"/>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8" w15:restartNumberingAfterBreak="0">
    <w:nsid w:val="5F9C1C42"/>
    <w:multiLevelType w:val="multilevel"/>
    <w:tmpl w:val="0DD29EA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9" w15:restartNumberingAfterBreak="0">
    <w:nsid w:val="601F4B81"/>
    <w:multiLevelType w:val="hybridMultilevel"/>
    <w:tmpl w:val="CCC05DD8"/>
    <w:lvl w:ilvl="0" w:tplc="0409000F">
      <w:start w:val="1"/>
      <w:numFmt w:val="decimal"/>
      <w:lvlText w:val="%1."/>
      <w:lvlJc w:val="left"/>
      <w:pPr>
        <w:tabs>
          <w:tab w:val="num" w:pos="1055"/>
        </w:tabs>
        <w:ind w:left="1055" w:hanging="360"/>
      </w:p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30" w15:restartNumberingAfterBreak="0">
    <w:nsid w:val="607230BD"/>
    <w:multiLevelType w:val="singleLevel"/>
    <w:tmpl w:val="2196E860"/>
    <w:lvl w:ilvl="0">
      <w:start w:val="2"/>
      <w:numFmt w:val="lowerLetter"/>
      <w:lvlText w:val="%1. "/>
      <w:legacy w:legacy="1" w:legacySpace="0" w:legacyIndent="360"/>
      <w:lvlJc w:val="left"/>
      <w:pPr>
        <w:ind w:left="360" w:hanging="360"/>
      </w:pPr>
      <w:rPr>
        <w:b w:val="0"/>
        <w:i w:val="0"/>
        <w:sz w:val="24"/>
        <w:szCs w:val="24"/>
      </w:rPr>
    </w:lvl>
  </w:abstractNum>
  <w:abstractNum w:abstractNumId="31" w15:restartNumberingAfterBreak="0">
    <w:nsid w:val="60EA3A04"/>
    <w:multiLevelType w:val="multilevel"/>
    <w:tmpl w:val="41B054E4"/>
    <w:lvl w:ilvl="0">
      <w:start w:val="26"/>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2"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6F8A4A91"/>
    <w:multiLevelType w:val="hybridMultilevel"/>
    <w:tmpl w:val="C616C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CE5AD7"/>
    <w:multiLevelType w:val="hybridMultilevel"/>
    <w:tmpl w:val="4C3E5C68"/>
    <w:lvl w:ilvl="0" w:tplc="423C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944757"/>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0"/>
  </w:num>
  <w:num w:numId="2">
    <w:abstractNumId w:val="24"/>
  </w:num>
  <w:num w:numId="3">
    <w:abstractNumId w:val="30"/>
  </w:num>
  <w:num w:numId="4">
    <w:abstractNumId w:val="9"/>
  </w:num>
  <w:num w:numId="5">
    <w:abstractNumId w:val="33"/>
  </w:num>
  <w:num w:numId="6">
    <w:abstractNumId w:val="16"/>
  </w:num>
  <w:num w:numId="7">
    <w:abstractNumId w:val="6"/>
  </w:num>
  <w:num w:numId="8">
    <w:abstractNumId w:val="23"/>
  </w:num>
  <w:num w:numId="9">
    <w:abstractNumId w:val="4"/>
  </w:num>
  <w:num w:numId="10">
    <w:abstractNumId w:val="35"/>
  </w:num>
  <w:num w:numId="11">
    <w:abstractNumId w:val="20"/>
  </w:num>
  <w:num w:numId="12">
    <w:abstractNumId w:val="2"/>
  </w:num>
  <w:num w:numId="13">
    <w:abstractNumId w:val="36"/>
  </w:num>
  <w:num w:numId="14">
    <w:abstractNumId w:val="12"/>
  </w:num>
  <w:num w:numId="15">
    <w:abstractNumId w:val="32"/>
  </w:num>
  <w:num w:numId="16">
    <w:abstractNumId w:val="34"/>
  </w:num>
  <w:num w:numId="17">
    <w:abstractNumId w:val="8"/>
  </w:num>
  <w:num w:numId="18">
    <w:abstractNumId w:val="10"/>
  </w:num>
  <w:num w:numId="19">
    <w:abstractNumId w:val="22"/>
  </w:num>
  <w:num w:numId="20">
    <w:abstractNumId w:val="21"/>
  </w:num>
  <w:num w:numId="21">
    <w:abstractNumId w:val="29"/>
  </w:num>
  <w:num w:numId="22">
    <w:abstractNumId w:val="26"/>
  </w:num>
  <w:num w:numId="23">
    <w:abstractNumId w:val="3"/>
  </w:num>
  <w:num w:numId="24">
    <w:abstractNumId w:val="25"/>
  </w:num>
  <w:num w:numId="25">
    <w:abstractNumId w:val="19"/>
  </w:num>
  <w:num w:numId="26">
    <w:abstractNumId w:val="18"/>
  </w:num>
  <w:num w:numId="27">
    <w:abstractNumId w:val="28"/>
  </w:num>
  <w:num w:numId="28">
    <w:abstractNumId w:val="17"/>
  </w:num>
  <w:num w:numId="29">
    <w:abstractNumId w:val="1"/>
  </w:num>
  <w:num w:numId="30">
    <w:abstractNumId w:val="14"/>
  </w:num>
  <w:num w:numId="31">
    <w:abstractNumId w:val="13"/>
  </w:num>
  <w:num w:numId="32">
    <w:abstractNumId w:val="5"/>
  </w:num>
  <w:num w:numId="33">
    <w:abstractNumId w:val="27"/>
  </w:num>
  <w:num w:numId="34">
    <w:abstractNumId w:val="11"/>
  </w:num>
  <w:num w:numId="35">
    <w:abstractNumId w:val="31"/>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57"/>
    <w:rsid w:val="00035900"/>
    <w:rsid w:val="000446D6"/>
    <w:rsid w:val="00055D12"/>
    <w:rsid w:val="00080556"/>
    <w:rsid w:val="000837E3"/>
    <w:rsid w:val="000A3AA4"/>
    <w:rsid w:val="000B4B0F"/>
    <w:rsid w:val="000B7807"/>
    <w:rsid w:val="00123731"/>
    <w:rsid w:val="00126FE2"/>
    <w:rsid w:val="00160ABC"/>
    <w:rsid w:val="00181363"/>
    <w:rsid w:val="00195B0C"/>
    <w:rsid w:val="001C2C2D"/>
    <w:rsid w:val="001E1622"/>
    <w:rsid w:val="00203E1D"/>
    <w:rsid w:val="00216457"/>
    <w:rsid w:val="002173EF"/>
    <w:rsid w:val="00256959"/>
    <w:rsid w:val="00261F67"/>
    <w:rsid w:val="00264D68"/>
    <w:rsid w:val="002A0594"/>
    <w:rsid w:val="002C0B87"/>
    <w:rsid w:val="002C1E0A"/>
    <w:rsid w:val="002E0FFC"/>
    <w:rsid w:val="002F1C31"/>
    <w:rsid w:val="00311CE2"/>
    <w:rsid w:val="0032192F"/>
    <w:rsid w:val="00332F06"/>
    <w:rsid w:val="00342184"/>
    <w:rsid w:val="00352F3B"/>
    <w:rsid w:val="0035498A"/>
    <w:rsid w:val="003E4A3A"/>
    <w:rsid w:val="003F4026"/>
    <w:rsid w:val="0041274D"/>
    <w:rsid w:val="00431174"/>
    <w:rsid w:val="004354D4"/>
    <w:rsid w:val="004A3CEE"/>
    <w:rsid w:val="004E0D65"/>
    <w:rsid w:val="00500690"/>
    <w:rsid w:val="00512470"/>
    <w:rsid w:val="00521577"/>
    <w:rsid w:val="00546BA6"/>
    <w:rsid w:val="00563AF5"/>
    <w:rsid w:val="00576EDF"/>
    <w:rsid w:val="005778C6"/>
    <w:rsid w:val="0059251C"/>
    <w:rsid w:val="0059313F"/>
    <w:rsid w:val="005A5327"/>
    <w:rsid w:val="005B4A66"/>
    <w:rsid w:val="005E2251"/>
    <w:rsid w:val="006072B8"/>
    <w:rsid w:val="00610D21"/>
    <w:rsid w:val="006277C1"/>
    <w:rsid w:val="00636162"/>
    <w:rsid w:val="0065130F"/>
    <w:rsid w:val="00663BB4"/>
    <w:rsid w:val="006A1465"/>
    <w:rsid w:val="006C4810"/>
    <w:rsid w:val="006E2D06"/>
    <w:rsid w:val="007041C0"/>
    <w:rsid w:val="00715687"/>
    <w:rsid w:val="00717107"/>
    <w:rsid w:val="0075495D"/>
    <w:rsid w:val="00794CE4"/>
    <w:rsid w:val="007B201E"/>
    <w:rsid w:val="007C4094"/>
    <w:rsid w:val="00814672"/>
    <w:rsid w:val="00821DC9"/>
    <w:rsid w:val="0084439A"/>
    <w:rsid w:val="008464FD"/>
    <w:rsid w:val="00862AF9"/>
    <w:rsid w:val="0088565C"/>
    <w:rsid w:val="008864B0"/>
    <w:rsid w:val="008B0CC3"/>
    <w:rsid w:val="008E42C1"/>
    <w:rsid w:val="008E72A2"/>
    <w:rsid w:val="008F294B"/>
    <w:rsid w:val="008F438E"/>
    <w:rsid w:val="00902E07"/>
    <w:rsid w:val="00903FED"/>
    <w:rsid w:val="009126D1"/>
    <w:rsid w:val="00931C17"/>
    <w:rsid w:val="00987C69"/>
    <w:rsid w:val="00990326"/>
    <w:rsid w:val="009A677B"/>
    <w:rsid w:val="009D7FCA"/>
    <w:rsid w:val="009E67FD"/>
    <w:rsid w:val="009E7700"/>
    <w:rsid w:val="009F650A"/>
    <w:rsid w:val="009F7C9C"/>
    <w:rsid w:val="00A145B0"/>
    <w:rsid w:val="00A26786"/>
    <w:rsid w:val="00A43F6A"/>
    <w:rsid w:val="00A473D4"/>
    <w:rsid w:val="00A52724"/>
    <w:rsid w:val="00A73EB3"/>
    <w:rsid w:val="00A86C16"/>
    <w:rsid w:val="00A90473"/>
    <w:rsid w:val="00AA73E9"/>
    <w:rsid w:val="00AB65EB"/>
    <w:rsid w:val="00AC0561"/>
    <w:rsid w:val="00B046E3"/>
    <w:rsid w:val="00B047E3"/>
    <w:rsid w:val="00B205DF"/>
    <w:rsid w:val="00B4425D"/>
    <w:rsid w:val="00B8393C"/>
    <w:rsid w:val="00B9310A"/>
    <w:rsid w:val="00BB7DB1"/>
    <w:rsid w:val="00BC6DD8"/>
    <w:rsid w:val="00BF52A4"/>
    <w:rsid w:val="00C01E22"/>
    <w:rsid w:val="00C0263A"/>
    <w:rsid w:val="00C2167A"/>
    <w:rsid w:val="00C315DA"/>
    <w:rsid w:val="00C33EA7"/>
    <w:rsid w:val="00C712CD"/>
    <w:rsid w:val="00C75E0A"/>
    <w:rsid w:val="00C84CDE"/>
    <w:rsid w:val="00C85F45"/>
    <w:rsid w:val="00CA24DB"/>
    <w:rsid w:val="00CC269D"/>
    <w:rsid w:val="00CD0FE3"/>
    <w:rsid w:val="00CD4A48"/>
    <w:rsid w:val="00CE6A8A"/>
    <w:rsid w:val="00D26C8A"/>
    <w:rsid w:val="00D87F7A"/>
    <w:rsid w:val="00D9374D"/>
    <w:rsid w:val="00DA0D7B"/>
    <w:rsid w:val="00DB502C"/>
    <w:rsid w:val="00DF614D"/>
    <w:rsid w:val="00E02727"/>
    <w:rsid w:val="00E04C8E"/>
    <w:rsid w:val="00E267B1"/>
    <w:rsid w:val="00E35C52"/>
    <w:rsid w:val="00E47BD4"/>
    <w:rsid w:val="00E63593"/>
    <w:rsid w:val="00E641B0"/>
    <w:rsid w:val="00E661D3"/>
    <w:rsid w:val="00E92F54"/>
    <w:rsid w:val="00E94F9F"/>
    <w:rsid w:val="00ED3549"/>
    <w:rsid w:val="00EE19A4"/>
    <w:rsid w:val="00EF5953"/>
    <w:rsid w:val="00F041B6"/>
    <w:rsid w:val="00F06CFC"/>
    <w:rsid w:val="00F52694"/>
    <w:rsid w:val="00F54FFF"/>
    <w:rsid w:val="00F754B4"/>
    <w:rsid w:val="00FE5189"/>
    <w:rsid w:val="00FE6B13"/>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A9FB11C"/>
  <w15:chartTrackingRefBased/>
  <w15:docId w15:val="{CD029ED6-2E69-4082-BC4C-9B3A8C6E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60"/>
      <w:outlineLvl w:val="0"/>
    </w:pPr>
    <w:rPr>
      <w:b/>
      <w:bCs/>
      <w:kern w:val="28"/>
      <w:sz w:val="28"/>
      <w:szCs w:val="28"/>
    </w:rPr>
  </w:style>
  <w:style w:type="paragraph" w:styleId="Heading2">
    <w:name w:val="heading 2"/>
    <w:basedOn w:val="Normal"/>
    <w:next w:val="Normal"/>
    <w:qFormat/>
    <w:pPr>
      <w:keepNext/>
      <w:numPr>
        <w:ilvl w:val="1"/>
        <w:numId w:val="1"/>
      </w:numPr>
      <w:spacing w:before="240" w:after="60"/>
      <w:outlineLvl w:val="1"/>
    </w:pPr>
    <w:rPr>
      <w:b/>
      <w:bCs/>
      <w:i/>
      <w:iCs/>
      <w:sz w:val="24"/>
      <w:szCs w:val="24"/>
    </w:rPr>
  </w:style>
  <w:style w:type="paragraph" w:styleId="Heading3">
    <w:name w:val="heading 3"/>
    <w:basedOn w:val="Normal"/>
    <w:next w:val="Normal"/>
    <w:qFormat/>
    <w:pPr>
      <w:keepNext/>
      <w:numPr>
        <w:ilvl w:val="2"/>
        <w:numId w:val="1"/>
      </w:numPr>
      <w:spacing w:before="240" w:after="60"/>
      <w:outlineLvl w:val="2"/>
    </w:pPr>
    <w:rPr>
      <w:sz w:val="24"/>
      <w:szCs w:val="24"/>
    </w:rPr>
  </w:style>
  <w:style w:type="paragraph" w:styleId="Heading4">
    <w:name w:val="heading 4"/>
    <w:basedOn w:val="Normal"/>
    <w:next w:val="Normal"/>
    <w:qFormat/>
    <w:pPr>
      <w:keepNext/>
      <w:numPr>
        <w:ilvl w:val="3"/>
        <w:numId w:val="1"/>
      </w:numPr>
      <w:spacing w:before="240" w:after="60"/>
      <w:outlineLvl w:val="3"/>
    </w:pPr>
    <w:rPr>
      <w:b/>
      <w:bCs/>
      <w:sz w:val="24"/>
      <w:szCs w:val="24"/>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216" w:right="216"/>
    </w:pPr>
  </w:style>
  <w:style w:type="paragraph" w:styleId="List3">
    <w:name w:val="List 3"/>
    <w:basedOn w:val="Normal"/>
    <w:pPr>
      <w:ind w:left="1080" w:hanging="360"/>
    </w:pPr>
  </w:style>
  <w:style w:type="paragraph" w:styleId="BodyText">
    <w:name w:val="Body Text"/>
    <w:basedOn w:val="Normal"/>
    <w:rPr>
      <w:b/>
      <w:bCs/>
      <w:szCs w:val="24"/>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8F4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8E"/>
    <w:rPr>
      <w:rFonts w:ascii="Segoe UI" w:hAnsi="Segoe UI" w:cs="Segoe UI"/>
      <w:sz w:val="18"/>
      <w:szCs w:val="18"/>
    </w:rPr>
  </w:style>
  <w:style w:type="character" w:styleId="CommentReference">
    <w:name w:val="annotation reference"/>
    <w:basedOn w:val="DefaultParagraphFont"/>
    <w:semiHidden/>
    <w:unhideWhenUsed/>
    <w:rsid w:val="00D87F7A"/>
    <w:rPr>
      <w:sz w:val="16"/>
      <w:szCs w:val="16"/>
    </w:rPr>
  </w:style>
  <w:style w:type="paragraph" w:styleId="CommentText">
    <w:name w:val="annotation text"/>
    <w:basedOn w:val="Normal"/>
    <w:link w:val="CommentTextChar"/>
    <w:uiPriority w:val="99"/>
    <w:semiHidden/>
    <w:unhideWhenUsed/>
    <w:rsid w:val="00D87F7A"/>
  </w:style>
  <w:style w:type="character" w:customStyle="1" w:styleId="CommentTextChar">
    <w:name w:val="Comment Text Char"/>
    <w:basedOn w:val="DefaultParagraphFont"/>
    <w:link w:val="CommentText"/>
    <w:uiPriority w:val="99"/>
    <w:semiHidden/>
    <w:rsid w:val="00D87F7A"/>
  </w:style>
  <w:style w:type="paragraph" w:styleId="CommentSubject">
    <w:name w:val="annotation subject"/>
    <w:basedOn w:val="CommentText"/>
    <w:next w:val="CommentText"/>
    <w:link w:val="CommentSubjectChar"/>
    <w:uiPriority w:val="99"/>
    <w:semiHidden/>
    <w:unhideWhenUsed/>
    <w:rsid w:val="00D87F7A"/>
    <w:rPr>
      <w:b/>
      <w:bCs/>
    </w:rPr>
  </w:style>
  <w:style w:type="character" w:customStyle="1" w:styleId="CommentSubjectChar">
    <w:name w:val="Comment Subject Char"/>
    <w:basedOn w:val="CommentTextChar"/>
    <w:link w:val="CommentSubject"/>
    <w:uiPriority w:val="99"/>
    <w:semiHidden/>
    <w:rsid w:val="00D87F7A"/>
    <w:rPr>
      <w:b/>
      <w:bCs/>
    </w:rPr>
  </w:style>
  <w:style w:type="paragraph" w:styleId="ListParagraph">
    <w:name w:val="List Paragraph"/>
    <w:basedOn w:val="Normal"/>
    <w:uiPriority w:val="34"/>
    <w:qFormat/>
    <w:rsid w:val="002A0594"/>
    <w:pPr>
      <w:ind w:left="720"/>
      <w:contextualSpacing/>
    </w:pPr>
  </w:style>
  <w:style w:type="table" w:styleId="TableGrid">
    <w:name w:val="Table Grid"/>
    <w:basedOn w:val="TableNormal"/>
    <w:uiPriority w:val="59"/>
    <w:rsid w:val="003F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2148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or via observation of procedures</vt:lpstr>
    </vt:vector>
  </TitlesOfParts>
  <Company>Gaming Control Board</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or via observation of procedures</dc:title>
  <dc:subject/>
  <dc:creator>Valued Gateway 2000 Customer</dc:creator>
  <cp:keywords/>
  <cp:lastModifiedBy>Newell, Shelley</cp:lastModifiedBy>
  <cp:revision>4</cp:revision>
  <cp:lastPrinted>2018-02-09T19:09:00Z</cp:lastPrinted>
  <dcterms:created xsi:type="dcterms:W3CDTF">2023-05-25T23:03:00Z</dcterms:created>
  <dcterms:modified xsi:type="dcterms:W3CDTF">2023-06-02T21:44:00Z</dcterms:modified>
</cp:coreProperties>
</file>