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DF12" w14:textId="77777777" w:rsidR="00387990" w:rsidRDefault="00387990">
      <w:pPr>
        <w:rPr>
          <w:sz w:val="8"/>
          <w:u w:val="single"/>
        </w:rPr>
      </w:pPr>
      <w:bookmarkStart w:id="0" w:name="_GoBack"/>
      <w:bookmarkEnd w:id="0"/>
    </w:p>
    <w:p w14:paraId="7DFCA2B5" w14:textId="48997F07" w:rsidR="00387990" w:rsidRDefault="00387990">
      <w:pPr>
        <w:rPr>
          <w:sz w:val="20"/>
        </w:rPr>
      </w:pPr>
      <w:r>
        <w:rPr>
          <w:sz w:val="20"/>
        </w:rPr>
        <w:t xml:space="preserve">NGC Regulation 6.090(9) requires the CPA to use “criteria established by the </w:t>
      </w:r>
      <w:r w:rsidR="00BE7ADC">
        <w:rPr>
          <w:sz w:val="20"/>
        </w:rPr>
        <w:t>C</w:t>
      </w:r>
      <w:r>
        <w:rPr>
          <w:sz w:val="20"/>
        </w:rPr>
        <w:t xml:space="preserve">hair” in determining whether a Group I licensee </w:t>
      </w:r>
      <w:r w:rsidR="006E13F2" w:rsidRPr="001E1B3F">
        <w:rPr>
          <w:sz w:val="20"/>
        </w:rPr>
        <w:t>or an operator of interactive gaming</w:t>
      </w:r>
      <w:r w:rsidR="00310037" w:rsidRPr="001E1B3F">
        <w:rPr>
          <w:sz w:val="20"/>
        </w:rPr>
        <w:t xml:space="preserve"> </w:t>
      </w:r>
      <w:r>
        <w:rPr>
          <w:sz w:val="20"/>
        </w:rPr>
        <w:t xml:space="preserve">is in compliance with the Minimum Internal Control Standards (MICS).  This checklist is to be used by the CPA in determining whether the licensee’s internal audit process </w:t>
      </w:r>
      <w:r w:rsidR="00D34E8A" w:rsidRPr="005A336A">
        <w:rPr>
          <w:sz w:val="20"/>
        </w:rPr>
        <w:t xml:space="preserve">satisfies the </w:t>
      </w:r>
      <w:r w:rsidR="006F36BD" w:rsidRPr="005A336A">
        <w:rPr>
          <w:sz w:val="20"/>
        </w:rPr>
        <w:t xml:space="preserve">Guidelines of the </w:t>
      </w:r>
      <w:r w:rsidR="00D34E8A" w:rsidRPr="005A336A">
        <w:rPr>
          <w:sz w:val="20"/>
        </w:rPr>
        <w:t xml:space="preserve">Internal Audit </w:t>
      </w:r>
      <w:r w:rsidR="006F36BD" w:rsidRPr="005A336A">
        <w:rPr>
          <w:sz w:val="20"/>
        </w:rPr>
        <w:t>Compliance Reporting Requirements</w:t>
      </w:r>
      <w:r w:rsidR="00D9241B" w:rsidRPr="00D9241B">
        <w:rPr>
          <w:sz w:val="20"/>
        </w:rPr>
        <w:t xml:space="preserve"> </w:t>
      </w:r>
      <w:r>
        <w:rPr>
          <w:sz w:val="20"/>
        </w:rPr>
        <w:t xml:space="preserve">in </w:t>
      </w:r>
      <w:r w:rsidR="00D9241B" w:rsidRPr="005A336A">
        <w:rPr>
          <w:sz w:val="20"/>
        </w:rPr>
        <w:t>determining</w:t>
      </w:r>
      <w:r w:rsidR="00D9241B" w:rsidRPr="00D9241B">
        <w:rPr>
          <w:sz w:val="20"/>
        </w:rPr>
        <w:t xml:space="preserve"> </w:t>
      </w:r>
      <w:r>
        <w:rPr>
          <w:sz w:val="20"/>
        </w:rPr>
        <w:t xml:space="preserve">compliance with the </w:t>
      </w:r>
      <w:r w:rsidRPr="00D9241B">
        <w:rPr>
          <w:sz w:val="20"/>
          <w:szCs w:val="20"/>
        </w:rPr>
        <w:t>MICS</w:t>
      </w:r>
      <w:r>
        <w:rPr>
          <w:sz w:val="20"/>
        </w:rPr>
        <w:t>.</w:t>
      </w:r>
      <w:r w:rsidR="00A76655">
        <w:rPr>
          <w:sz w:val="20"/>
        </w:rPr>
        <w:t xml:space="preserve"> </w:t>
      </w:r>
    </w:p>
    <w:p w14:paraId="5FFAEC9E" w14:textId="77777777" w:rsidR="00387990" w:rsidRDefault="00387990">
      <w:pPr>
        <w:rPr>
          <w:sz w:val="20"/>
        </w:rPr>
      </w:pPr>
    </w:p>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gridCol w:w="3454"/>
      </w:tblGrid>
      <w:tr w:rsidR="00387990" w14:paraId="6D812B2E" w14:textId="77777777" w:rsidTr="00DF44BD">
        <w:tc>
          <w:tcPr>
            <w:tcW w:w="7470" w:type="dxa"/>
            <w:tcBorders>
              <w:top w:val="nil"/>
              <w:left w:val="nil"/>
              <w:bottom w:val="nil"/>
              <w:right w:val="nil"/>
            </w:tcBorders>
          </w:tcPr>
          <w:p w14:paraId="385454C5" w14:textId="77777777" w:rsidR="00387990" w:rsidRDefault="00387990">
            <w:pPr>
              <w:rPr>
                <w:sz w:val="20"/>
              </w:rPr>
            </w:pPr>
            <w:r>
              <w:rPr>
                <w:sz w:val="20"/>
              </w:rPr>
              <w:t>Indicate the person(s) performing the Internal Audit function for the period under review:</w:t>
            </w:r>
          </w:p>
        </w:tc>
        <w:tc>
          <w:tcPr>
            <w:tcW w:w="3454" w:type="dxa"/>
            <w:tcBorders>
              <w:top w:val="nil"/>
              <w:left w:val="nil"/>
              <w:bottom w:val="single" w:sz="4" w:space="0" w:color="auto"/>
              <w:right w:val="nil"/>
            </w:tcBorders>
          </w:tcPr>
          <w:p w14:paraId="1644EE93" w14:textId="77777777" w:rsidR="00387990" w:rsidRDefault="00387990">
            <w:pPr>
              <w:rPr>
                <w:sz w:val="20"/>
              </w:rPr>
            </w:pPr>
          </w:p>
        </w:tc>
      </w:tr>
    </w:tbl>
    <w:p w14:paraId="0F62833E" w14:textId="77777777" w:rsidR="00F41504" w:rsidRPr="00F41504" w:rsidRDefault="00F41504" w:rsidP="00F41504">
      <w:pPr>
        <w:rPr>
          <w:vanish/>
        </w:rPr>
      </w:pPr>
    </w:p>
    <w:tbl>
      <w:tblPr>
        <w:tblpPr w:leftFromText="180" w:rightFromText="180" w:vertAnchor="page" w:horzAnchor="margin" w:tblpY="4033"/>
        <w:tblW w:w="0" w:type="auto"/>
        <w:tblLayout w:type="fixed"/>
        <w:tblLook w:val="0000" w:firstRow="0" w:lastRow="0" w:firstColumn="0" w:lastColumn="0" w:noHBand="0" w:noVBand="0"/>
      </w:tblPr>
      <w:tblGrid>
        <w:gridCol w:w="2421"/>
        <w:gridCol w:w="4527"/>
        <w:gridCol w:w="3780"/>
      </w:tblGrid>
      <w:tr w:rsidR="00387990" w14:paraId="000634D3" w14:textId="77777777">
        <w:tc>
          <w:tcPr>
            <w:tcW w:w="2421" w:type="dxa"/>
            <w:tcBorders>
              <w:top w:val="nil"/>
              <w:left w:val="nil"/>
              <w:bottom w:val="single" w:sz="4" w:space="0" w:color="auto"/>
              <w:right w:val="nil"/>
            </w:tcBorders>
          </w:tcPr>
          <w:p w14:paraId="51519AFE" w14:textId="77777777" w:rsidR="00387990" w:rsidRDefault="00387990">
            <w:pPr>
              <w:jc w:val="center"/>
              <w:rPr>
                <w:sz w:val="20"/>
              </w:rPr>
            </w:pPr>
            <w:r>
              <w:rPr>
                <w:sz w:val="20"/>
              </w:rPr>
              <w:t>Date of Inquiry</w:t>
            </w:r>
          </w:p>
        </w:tc>
        <w:tc>
          <w:tcPr>
            <w:tcW w:w="4527" w:type="dxa"/>
            <w:tcBorders>
              <w:top w:val="nil"/>
              <w:left w:val="nil"/>
              <w:bottom w:val="single" w:sz="4" w:space="0" w:color="auto"/>
              <w:right w:val="nil"/>
            </w:tcBorders>
          </w:tcPr>
          <w:p w14:paraId="42B3E853" w14:textId="77777777" w:rsidR="00387990" w:rsidRDefault="00387990">
            <w:pPr>
              <w:jc w:val="center"/>
              <w:rPr>
                <w:sz w:val="20"/>
              </w:rPr>
            </w:pPr>
            <w:r>
              <w:rPr>
                <w:sz w:val="20"/>
              </w:rPr>
              <w:t>Person Interviewed</w:t>
            </w:r>
          </w:p>
        </w:tc>
        <w:tc>
          <w:tcPr>
            <w:tcW w:w="3780" w:type="dxa"/>
            <w:tcBorders>
              <w:top w:val="nil"/>
              <w:left w:val="nil"/>
              <w:bottom w:val="single" w:sz="4" w:space="0" w:color="auto"/>
              <w:right w:val="nil"/>
            </w:tcBorders>
          </w:tcPr>
          <w:p w14:paraId="0AE4A121" w14:textId="77777777" w:rsidR="00387990" w:rsidRDefault="00387990">
            <w:pPr>
              <w:jc w:val="center"/>
              <w:rPr>
                <w:sz w:val="20"/>
              </w:rPr>
            </w:pPr>
            <w:r>
              <w:rPr>
                <w:sz w:val="20"/>
              </w:rPr>
              <w:t>Position</w:t>
            </w:r>
          </w:p>
        </w:tc>
      </w:tr>
      <w:tr w:rsidR="00387990" w14:paraId="298E50D1"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9254139"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7543CE85"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4556AF42" w14:textId="77777777" w:rsidR="00387990" w:rsidRDefault="00387990"/>
        </w:tc>
      </w:tr>
      <w:tr w:rsidR="00387990" w14:paraId="6AA86053"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53BF3399"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692B4DF8"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3D5B17AF" w14:textId="77777777" w:rsidR="00387990" w:rsidRDefault="00387990"/>
        </w:tc>
      </w:tr>
      <w:tr w:rsidR="00387990" w14:paraId="0C64EFDF"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5884427E"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64F7BCA7"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0F0D4D8E" w14:textId="77777777" w:rsidR="00387990" w:rsidRDefault="00387990"/>
        </w:tc>
      </w:tr>
      <w:tr w:rsidR="00387990" w14:paraId="73C2E318"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1752E2BB"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61D0D38F"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2350F48F" w14:textId="77777777" w:rsidR="00387990" w:rsidRDefault="00387990"/>
        </w:tc>
      </w:tr>
      <w:tr w:rsidR="00387990" w14:paraId="39405197"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168F050F"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07C1D550"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32210EC4" w14:textId="77777777" w:rsidR="00387990" w:rsidRDefault="00387990"/>
        </w:tc>
      </w:tr>
      <w:tr w:rsidR="00387990" w14:paraId="0DE1BE1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7386E645" w14:textId="77777777" w:rsidR="00387990" w:rsidRDefault="00387990"/>
        </w:tc>
        <w:tc>
          <w:tcPr>
            <w:tcW w:w="4527" w:type="dxa"/>
            <w:tcBorders>
              <w:top w:val="single" w:sz="4" w:space="0" w:color="auto"/>
              <w:left w:val="single" w:sz="4" w:space="0" w:color="auto"/>
              <w:bottom w:val="single" w:sz="4" w:space="0" w:color="auto"/>
              <w:right w:val="single" w:sz="4" w:space="0" w:color="auto"/>
            </w:tcBorders>
          </w:tcPr>
          <w:p w14:paraId="193CCBCC" w14:textId="77777777" w:rsidR="00387990" w:rsidRDefault="00387990"/>
        </w:tc>
        <w:tc>
          <w:tcPr>
            <w:tcW w:w="3780" w:type="dxa"/>
            <w:tcBorders>
              <w:top w:val="single" w:sz="4" w:space="0" w:color="auto"/>
              <w:left w:val="single" w:sz="4" w:space="0" w:color="auto"/>
              <w:bottom w:val="single" w:sz="4" w:space="0" w:color="auto"/>
              <w:right w:val="single" w:sz="4" w:space="0" w:color="auto"/>
            </w:tcBorders>
          </w:tcPr>
          <w:p w14:paraId="4C6305C9" w14:textId="77777777" w:rsidR="00387990" w:rsidRDefault="00387990"/>
        </w:tc>
      </w:tr>
    </w:tbl>
    <w:p w14:paraId="284682E6" w14:textId="77777777" w:rsidR="00387990" w:rsidRDefault="00387990">
      <w:pPr>
        <w:rPr>
          <w:sz w:val="20"/>
          <w:u w:val="single"/>
        </w:rPr>
      </w:pPr>
    </w:p>
    <w:p w14:paraId="341885C6" w14:textId="77777777" w:rsidR="00387990" w:rsidRDefault="00387990">
      <w:pPr>
        <w:rPr>
          <w:sz w:val="20"/>
          <w:u w:val="single"/>
        </w:rPr>
      </w:pPr>
      <w:r>
        <w:rPr>
          <w:sz w:val="20"/>
          <w:u w:val="single"/>
        </w:rPr>
        <w:t>Checklist Completion Notes:</w:t>
      </w:r>
    </w:p>
    <w:p w14:paraId="2BD0DD10" w14:textId="77777777" w:rsidR="00387990" w:rsidRDefault="00387990">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  </w:t>
      </w:r>
    </w:p>
    <w:p w14:paraId="06BD8A61" w14:textId="77777777" w:rsidR="00387990" w:rsidRDefault="00387990">
      <w:pPr>
        <w:rPr>
          <w:sz w:val="20"/>
        </w:rPr>
      </w:pPr>
    </w:p>
    <w:p w14:paraId="30725D5E" w14:textId="77777777" w:rsidR="00387990" w:rsidRDefault="00387990">
      <w:pPr>
        <w:numPr>
          <w:ilvl w:val="0"/>
          <w:numId w:val="4"/>
        </w:numPr>
        <w:rPr>
          <w:sz w:val="20"/>
        </w:rPr>
      </w:pPr>
      <w:r>
        <w:rPr>
          <w:sz w:val="20"/>
        </w:rPr>
        <w:t>All "no" answers require referencing and/or comment, and should be cited as regulation violations, unless the</w:t>
      </w:r>
      <w:r w:rsidR="007C75B9">
        <w:rPr>
          <w:sz w:val="20"/>
        </w:rPr>
        <w:t xml:space="preserve"> </w:t>
      </w:r>
      <w:r w:rsidR="007C75B9" w:rsidRPr="005A336A">
        <w:rPr>
          <w:sz w:val="20"/>
        </w:rPr>
        <w:t>Board’s Audit Division</w:t>
      </w:r>
      <w:r>
        <w:rPr>
          <w:sz w:val="20"/>
        </w:rPr>
        <w:t xml:space="preserve"> has granted </w:t>
      </w:r>
      <w:r w:rsidR="007C75B9" w:rsidRPr="005A336A">
        <w:rPr>
          <w:sz w:val="20"/>
        </w:rPr>
        <w:t>written approval to waive the performance of internal audit procedures</w:t>
      </w:r>
      <w:r w:rsidR="007C75B9">
        <w:rPr>
          <w:sz w:val="20"/>
        </w:rPr>
        <w:t xml:space="preserve"> </w:t>
      </w:r>
      <w:r>
        <w:rPr>
          <w:sz w:val="20"/>
        </w:rPr>
        <w:t xml:space="preserve">pursuant to </w:t>
      </w:r>
      <w:r w:rsidR="006F36BD" w:rsidRPr="005A336A">
        <w:rPr>
          <w:sz w:val="20"/>
        </w:rPr>
        <w:t>the</w:t>
      </w:r>
      <w:r w:rsidR="006F36BD">
        <w:rPr>
          <w:sz w:val="20"/>
        </w:rPr>
        <w:t xml:space="preserve"> </w:t>
      </w:r>
      <w:r>
        <w:rPr>
          <w:sz w:val="20"/>
        </w:rPr>
        <w:t>Internal Audit</w:t>
      </w:r>
      <w:r w:rsidR="007C75B9">
        <w:rPr>
          <w:sz w:val="20"/>
        </w:rPr>
        <w:t xml:space="preserve"> </w:t>
      </w:r>
      <w:r w:rsidR="007C75B9" w:rsidRPr="005A336A">
        <w:rPr>
          <w:sz w:val="20"/>
        </w:rPr>
        <w:t>Guidelines</w:t>
      </w:r>
      <w:r>
        <w:rPr>
          <w:sz w:val="20"/>
        </w:rPr>
        <w:t>, or the question requires a “no” answer for acceptability.</w:t>
      </w:r>
    </w:p>
    <w:p w14:paraId="2E74A67B" w14:textId="77777777" w:rsidR="00387990" w:rsidRDefault="00387990">
      <w:pPr>
        <w:rPr>
          <w:sz w:val="20"/>
        </w:rPr>
      </w:pPr>
    </w:p>
    <w:p w14:paraId="4C239386" w14:textId="77777777" w:rsidR="00387990" w:rsidRPr="00797F2B" w:rsidRDefault="00387990">
      <w:pPr>
        <w:numPr>
          <w:ilvl w:val="0"/>
          <w:numId w:val="4"/>
        </w:numPr>
        <w:rPr>
          <w:sz w:val="20"/>
          <w:szCs w:val="20"/>
        </w:rPr>
      </w:pPr>
      <w:r w:rsidRPr="00797F2B">
        <w:rPr>
          <w:sz w:val="20"/>
          <w:szCs w:val="20"/>
        </w:rPr>
        <w:t xml:space="preserve">"(#)" refers to the </w:t>
      </w:r>
      <w:r w:rsidR="00797F2B" w:rsidRPr="005A336A">
        <w:rPr>
          <w:sz w:val="20"/>
          <w:szCs w:val="20"/>
        </w:rPr>
        <w:t>page number of the Internal Audit Guidelines addressing the requirement</w:t>
      </w:r>
      <w:r w:rsidRPr="00797F2B">
        <w:rPr>
          <w:sz w:val="20"/>
          <w:szCs w:val="20"/>
        </w:rPr>
        <w:t xml:space="preserve">. </w:t>
      </w:r>
      <w:r w:rsidR="00797F2B" w:rsidRPr="00797F2B">
        <w:rPr>
          <w:sz w:val="20"/>
          <w:szCs w:val="20"/>
        </w:rPr>
        <w:t xml:space="preserve">  </w:t>
      </w:r>
    </w:p>
    <w:p w14:paraId="0BDF6987" w14:textId="77777777" w:rsidR="00387990" w:rsidRDefault="00387990">
      <w:pPr>
        <w:rPr>
          <w:sz w:val="20"/>
        </w:rPr>
      </w:pPr>
    </w:p>
    <w:p w14:paraId="14E01E76" w14:textId="71425BE4" w:rsidR="00387990" w:rsidRDefault="00387990" w:rsidP="00DC7E41">
      <w:pPr>
        <w:numPr>
          <w:ilvl w:val="0"/>
          <w:numId w:val="17"/>
        </w:numPr>
        <w:tabs>
          <w:tab w:val="clear" w:pos="720"/>
          <w:tab w:val="num" w:pos="360"/>
        </w:tabs>
        <w:ind w:left="360"/>
        <w:rPr>
          <w:sz w:val="20"/>
        </w:rPr>
      </w:pPr>
      <w:r>
        <w:rPr>
          <w:sz w:val="20"/>
        </w:rPr>
        <w:t>Prior to completing this checklist, determine whether any requirements have been waived in accordance with</w:t>
      </w:r>
      <w:r w:rsidR="00D01A60">
        <w:rPr>
          <w:sz w:val="20"/>
        </w:rPr>
        <w:t xml:space="preserve"> </w:t>
      </w:r>
      <w:r w:rsidR="00D01A60" w:rsidRPr="005A336A">
        <w:rPr>
          <w:sz w:val="20"/>
        </w:rPr>
        <w:t>the Internal Audit Guidelines</w:t>
      </w:r>
      <w:r w:rsidR="00674A5E" w:rsidRPr="005A336A">
        <w:rPr>
          <w:sz w:val="20"/>
        </w:rPr>
        <w:t xml:space="preserve"> pursuant to Regulation 6.090(15)</w:t>
      </w:r>
      <w:r>
        <w:rPr>
          <w:sz w:val="20"/>
        </w:rPr>
        <w:t>.</w:t>
      </w:r>
    </w:p>
    <w:p w14:paraId="19CC26C7" w14:textId="77777777" w:rsidR="00A726D0" w:rsidRDefault="00A726D0" w:rsidP="00A726D0">
      <w:pPr>
        <w:rPr>
          <w:sz w:val="20"/>
        </w:rPr>
      </w:pPr>
    </w:p>
    <w:p w14:paraId="74FD541B" w14:textId="77777777" w:rsidR="00387990" w:rsidRDefault="00387990">
      <w:pPr>
        <w:rPr>
          <w:sz w:val="8"/>
        </w:rPr>
      </w:pPr>
    </w:p>
    <w:p w14:paraId="35907556" w14:textId="77777777" w:rsidR="00387990" w:rsidRDefault="00387990">
      <w:pPr>
        <w:rPr>
          <w:sz w:val="20"/>
        </w:rPr>
      </w:pPr>
      <w:r>
        <w:rPr>
          <w:sz w:val="20"/>
          <w:u w:val="single"/>
        </w:rPr>
        <w:t>Miscellaneous Items from the Guidelines for the Internal Audit Checklists</w:t>
      </w:r>
    </w:p>
    <w:p w14:paraId="01F242E1" w14:textId="77777777" w:rsidR="00387990" w:rsidRDefault="00387990">
      <w:pPr>
        <w:pStyle w:val="BodyTextIndent"/>
        <w:numPr>
          <w:ilvl w:val="0"/>
          <w:numId w:val="6"/>
        </w:numPr>
        <w:tabs>
          <w:tab w:val="clear" w:pos="720"/>
        </w:tabs>
        <w:ind w:left="360"/>
      </w:pPr>
      <w:r>
        <w:t>For new licensees</w:t>
      </w:r>
      <w:r w:rsidR="00674A5E" w:rsidRPr="005A336A">
        <w:t>, or for licensees that have surrendered their gaming license,</w:t>
      </w:r>
      <w:r>
        <w:t xml:space="preserve"> that </w:t>
      </w:r>
      <w:r w:rsidR="00674A5E" w:rsidRPr="005A336A">
        <w:t>were</w:t>
      </w:r>
      <w:r w:rsidR="00674A5E">
        <w:t xml:space="preserve"> </w:t>
      </w:r>
      <w:r>
        <w:t xml:space="preserve">in operation for three months or less by the end of their business year, performance of these internal audit procedures is not required for the partial period.  </w:t>
      </w:r>
    </w:p>
    <w:p w14:paraId="45FC7506" w14:textId="77777777" w:rsidR="00615539" w:rsidRDefault="00615539" w:rsidP="00615539">
      <w:pPr>
        <w:pStyle w:val="BodyTextIndent"/>
        <w:ind w:firstLine="0"/>
      </w:pPr>
    </w:p>
    <w:p w14:paraId="0122455F" w14:textId="77777777" w:rsidR="00387990" w:rsidRDefault="00387990">
      <w:pPr>
        <w:numPr>
          <w:ilvl w:val="0"/>
          <w:numId w:val="6"/>
        </w:numPr>
        <w:tabs>
          <w:tab w:val="clear" w:pos="720"/>
          <w:tab w:val="left" w:pos="360"/>
        </w:tabs>
        <w:ind w:left="360"/>
        <w:rPr>
          <w:sz w:val="20"/>
        </w:rPr>
      </w:pPr>
      <w:r>
        <w:rPr>
          <w:sz w:val="20"/>
        </w:rPr>
        <w:t xml:space="preserve">The checklists used by the internal auditors must be identical to those originally issued by the Board.  Photocopies may be used.  If their checklists are generated from </w:t>
      </w:r>
      <w:r w:rsidR="006F36BD" w:rsidRPr="005A336A">
        <w:rPr>
          <w:sz w:val="20"/>
        </w:rPr>
        <w:t>the</w:t>
      </w:r>
      <w:r w:rsidR="006F36BD">
        <w:rPr>
          <w:sz w:val="20"/>
        </w:rPr>
        <w:t xml:space="preserve"> </w:t>
      </w:r>
      <w:r w:rsidRPr="006F36BD">
        <w:rPr>
          <w:sz w:val="20"/>
          <w:szCs w:val="20"/>
        </w:rPr>
        <w:t>Board</w:t>
      </w:r>
      <w:r w:rsidR="006F36BD" w:rsidRPr="005A336A">
        <w:rPr>
          <w:sz w:val="20"/>
          <w:szCs w:val="20"/>
        </w:rPr>
        <w:t>’s electronic files</w:t>
      </w:r>
      <w:r>
        <w:rPr>
          <w:sz w:val="20"/>
        </w:rPr>
        <w:t xml:space="preserve">, the format must not be altered (a change from portrait to landscape is not considered a change in format).  When modifying checklists due to regulatory changes or the additions of explanatory notes, the acceptable method is to note the change following the question/procedure.  Although copies of the checklists are expected to be provided, the Board may grant approval for other formats.  </w:t>
      </w:r>
    </w:p>
    <w:p w14:paraId="1ACBFDFE" w14:textId="77777777" w:rsidR="00B425DB" w:rsidRDefault="00B425DB" w:rsidP="00B425DB">
      <w:pPr>
        <w:tabs>
          <w:tab w:val="left" w:pos="360"/>
        </w:tabs>
        <w:rPr>
          <w:sz w:val="20"/>
        </w:rPr>
      </w:pPr>
    </w:p>
    <w:p w14:paraId="1EDBC0C2" w14:textId="77777777" w:rsidR="00B425DB" w:rsidRDefault="00B425DB" w:rsidP="00B425DB">
      <w:pPr>
        <w:tabs>
          <w:tab w:val="left" w:pos="360"/>
        </w:tabs>
        <w:rPr>
          <w:sz w:val="20"/>
        </w:rPr>
      </w:pPr>
    </w:p>
    <w:p w14:paraId="6F7E9C64" w14:textId="77777777" w:rsidR="00B425DB" w:rsidRDefault="005B1D55" w:rsidP="00B425DB">
      <w:pPr>
        <w:tabs>
          <w:tab w:val="left" w:pos="360"/>
        </w:tabs>
        <w:rPr>
          <w:sz w:val="20"/>
        </w:rPr>
      </w:pPr>
      <w:r>
        <w:rPr>
          <w:sz w:val="20"/>
        </w:rPr>
        <w:br w:type="page"/>
      </w:r>
    </w:p>
    <w:p w14:paraId="67429C94" w14:textId="77777777" w:rsidR="00B425DB" w:rsidRDefault="00B425DB" w:rsidP="00B425DB">
      <w:pPr>
        <w:tabs>
          <w:tab w:val="left" w:pos="360"/>
        </w:tabs>
        <w:rPr>
          <w:sz w:val="20"/>
        </w:rPr>
      </w:pPr>
    </w:p>
    <w:p w14:paraId="017DBFBF" w14:textId="77777777" w:rsidR="00387990" w:rsidRDefault="00387990">
      <w:pPr>
        <w:rPr>
          <w:sz w:val="8"/>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861"/>
        <w:gridCol w:w="7"/>
        <w:gridCol w:w="713"/>
        <w:gridCol w:w="7"/>
        <w:gridCol w:w="713"/>
        <w:gridCol w:w="7"/>
        <w:gridCol w:w="713"/>
        <w:gridCol w:w="7"/>
        <w:gridCol w:w="2981"/>
        <w:gridCol w:w="7"/>
      </w:tblGrid>
      <w:tr w:rsidR="00387990" w14:paraId="2251CA2C" w14:textId="77777777">
        <w:trPr>
          <w:gridBefore w:val="1"/>
          <w:wBefore w:w="7" w:type="dxa"/>
          <w:cantSplit/>
          <w:tblHeader/>
        </w:trPr>
        <w:tc>
          <w:tcPr>
            <w:tcW w:w="5868" w:type="dxa"/>
            <w:gridSpan w:val="2"/>
            <w:shd w:val="pct15" w:color="auto" w:fill="auto"/>
          </w:tcPr>
          <w:p w14:paraId="5031BE07" w14:textId="77777777" w:rsidR="00387990" w:rsidRDefault="00387990">
            <w:pPr>
              <w:jc w:val="center"/>
              <w:rPr>
                <w:sz w:val="20"/>
              </w:rPr>
            </w:pPr>
            <w:r>
              <w:rPr>
                <w:sz w:val="20"/>
              </w:rPr>
              <w:t>Questions</w:t>
            </w:r>
          </w:p>
        </w:tc>
        <w:tc>
          <w:tcPr>
            <w:tcW w:w="720" w:type="dxa"/>
            <w:gridSpan w:val="2"/>
            <w:tcBorders>
              <w:bottom w:val="single" w:sz="4" w:space="0" w:color="auto"/>
            </w:tcBorders>
            <w:shd w:val="pct15" w:color="auto" w:fill="auto"/>
          </w:tcPr>
          <w:p w14:paraId="1F5402DD" w14:textId="77777777" w:rsidR="00387990" w:rsidRDefault="00387990">
            <w:pPr>
              <w:jc w:val="center"/>
              <w:rPr>
                <w:sz w:val="20"/>
              </w:rPr>
            </w:pPr>
            <w:r>
              <w:rPr>
                <w:sz w:val="20"/>
              </w:rPr>
              <w:t>Yes</w:t>
            </w:r>
          </w:p>
        </w:tc>
        <w:tc>
          <w:tcPr>
            <w:tcW w:w="720" w:type="dxa"/>
            <w:gridSpan w:val="2"/>
            <w:tcBorders>
              <w:bottom w:val="single" w:sz="4" w:space="0" w:color="auto"/>
            </w:tcBorders>
            <w:shd w:val="pct15" w:color="auto" w:fill="auto"/>
          </w:tcPr>
          <w:p w14:paraId="74FEA1F0" w14:textId="77777777" w:rsidR="00387990" w:rsidRDefault="00387990">
            <w:pPr>
              <w:jc w:val="center"/>
              <w:rPr>
                <w:sz w:val="20"/>
              </w:rPr>
            </w:pPr>
            <w:r>
              <w:rPr>
                <w:sz w:val="20"/>
              </w:rPr>
              <w:t>No</w:t>
            </w:r>
          </w:p>
        </w:tc>
        <w:tc>
          <w:tcPr>
            <w:tcW w:w="720" w:type="dxa"/>
            <w:gridSpan w:val="2"/>
            <w:tcBorders>
              <w:bottom w:val="single" w:sz="4" w:space="0" w:color="auto"/>
            </w:tcBorders>
            <w:shd w:val="pct15" w:color="auto" w:fill="auto"/>
          </w:tcPr>
          <w:p w14:paraId="6797633B" w14:textId="77777777" w:rsidR="00387990" w:rsidRDefault="00387990">
            <w:pPr>
              <w:jc w:val="center"/>
              <w:rPr>
                <w:sz w:val="20"/>
              </w:rPr>
            </w:pPr>
            <w:r>
              <w:rPr>
                <w:sz w:val="20"/>
              </w:rPr>
              <w:t>N/A</w:t>
            </w:r>
          </w:p>
        </w:tc>
        <w:tc>
          <w:tcPr>
            <w:tcW w:w="2988" w:type="dxa"/>
            <w:gridSpan w:val="2"/>
            <w:tcBorders>
              <w:bottom w:val="single" w:sz="4" w:space="0" w:color="auto"/>
            </w:tcBorders>
            <w:shd w:val="pct15" w:color="auto" w:fill="auto"/>
          </w:tcPr>
          <w:p w14:paraId="35C6AFC4" w14:textId="77777777" w:rsidR="00387990" w:rsidRDefault="00387990">
            <w:pPr>
              <w:jc w:val="center"/>
              <w:rPr>
                <w:sz w:val="20"/>
              </w:rPr>
            </w:pPr>
            <w:r>
              <w:rPr>
                <w:sz w:val="20"/>
              </w:rPr>
              <w:t>Comments, W/P Reference</w:t>
            </w:r>
          </w:p>
        </w:tc>
      </w:tr>
      <w:tr w:rsidR="00387990" w14:paraId="5C984C1A" w14:textId="77777777">
        <w:trPr>
          <w:gridBefore w:val="1"/>
          <w:wBefore w:w="7" w:type="dxa"/>
        </w:trPr>
        <w:tc>
          <w:tcPr>
            <w:tcW w:w="5868" w:type="dxa"/>
            <w:gridSpan w:val="2"/>
          </w:tcPr>
          <w:p w14:paraId="36C5B6E7" w14:textId="77777777" w:rsidR="00387990" w:rsidRDefault="00387990">
            <w:pPr>
              <w:rPr>
                <w:b/>
                <w:bCs/>
                <w:sz w:val="20"/>
                <w:u w:val="single"/>
              </w:rPr>
            </w:pPr>
            <w:r>
              <w:rPr>
                <w:b/>
                <w:bCs/>
                <w:sz w:val="20"/>
                <w:u w:val="single"/>
              </w:rPr>
              <w:t>Internal Audit Procedures</w:t>
            </w:r>
          </w:p>
          <w:p w14:paraId="5A06893E" w14:textId="77777777" w:rsidR="00387990" w:rsidRDefault="00387990">
            <w:pPr>
              <w:rPr>
                <w:b/>
                <w:bCs/>
                <w:sz w:val="8"/>
                <w:u w:val="single"/>
              </w:rPr>
            </w:pPr>
          </w:p>
        </w:tc>
        <w:tc>
          <w:tcPr>
            <w:tcW w:w="720" w:type="dxa"/>
            <w:gridSpan w:val="2"/>
            <w:shd w:val="clear" w:color="auto" w:fill="auto"/>
          </w:tcPr>
          <w:p w14:paraId="47CBFABF" w14:textId="77777777" w:rsidR="00387990" w:rsidRDefault="00387990">
            <w:pPr>
              <w:jc w:val="center"/>
              <w:rPr>
                <w:sz w:val="20"/>
              </w:rPr>
            </w:pPr>
          </w:p>
        </w:tc>
        <w:tc>
          <w:tcPr>
            <w:tcW w:w="720" w:type="dxa"/>
            <w:gridSpan w:val="2"/>
            <w:shd w:val="clear" w:color="auto" w:fill="auto"/>
          </w:tcPr>
          <w:p w14:paraId="775F4873" w14:textId="77777777" w:rsidR="00387990" w:rsidRDefault="00387990">
            <w:pPr>
              <w:jc w:val="center"/>
              <w:rPr>
                <w:sz w:val="20"/>
              </w:rPr>
            </w:pPr>
          </w:p>
        </w:tc>
        <w:tc>
          <w:tcPr>
            <w:tcW w:w="720" w:type="dxa"/>
            <w:gridSpan w:val="2"/>
            <w:shd w:val="clear" w:color="auto" w:fill="auto"/>
          </w:tcPr>
          <w:p w14:paraId="1D6B6688" w14:textId="77777777" w:rsidR="00387990" w:rsidRDefault="00387990">
            <w:pPr>
              <w:jc w:val="center"/>
              <w:rPr>
                <w:sz w:val="20"/>
              </w:rPr>
            </w:pPr>
          </w:p>
        </w:tc>
        <w:tc>
          <w:tcPr>
            <w:tcW w:w="2988" w:type="dxa"/>
            <w:gridSpan w:val="2"/>
            <w:shd w:val="clear" w:color="auto" w:fill="auto"/>
          </w:tcPr>
          <w:p w14:paraId="3C492189" w14:textId="77777777" w:rsidR="00387990" w:rsidRDefault="00387990">
            <w:pPr>
              <w:jc w:val="center"/>
              <w:rPr>
                <w:sz w:val="20"/>
              </w:rPr>
            </w:pPr>
          </w:p>
        </w:tc>
      </w:tr>
      <w:tr w:rsidR="00387990" w14:paraId="57054C4E" w14:textId="77777777">
        <w:trPr>
          <w:gridBefore w:val="1"/>
          <w:wBefore w:w="7" w:type="dxa"/>
          <w:cantSplit/>
        </w:trPr>
        <w:tc>
          <w:tcPr>
            <w:tcW w:w="5868" w:type="dxa"/>
            <w:gridSpan w:val="2"/>
            <w:tcMar>
              <w:left w:w="115" w:type="dxa"/>
              <w:bottom w:w="144" w:type="dxa"/>
              <w:right w:w="115" w:type="dxa"/>
            </w:tcMar>
          </w:tcPr>
          <w:p w14:paraId="59AC5849" w14:textId="1115A2FD" w:rsidR="00387990" w:rsidRPr="00DC7E41" w:rsidRDefault="00387990" w:rsidP="00797F2B">
            <w:pPr>
              <w:numPr>
                <w:ilvl w:val="0"/>
                <w:numId w:val="15"/>
              </w:numPr>
              <w:rPr>
                <w:sz w:val="20"/>
                <w:szCs w:val="20"/>
              </w:rPr>
            </w:pPr>
            <w:r>
              <w:rPr>
                <w:sz w:val="20"/>
              </w:rPr>
              <w:t>Does the licensee maintain an independent internal audit department whose primary function is performing internal audit work and who is independent with respect to the departments under audit</w:t>
            </w:r>
            <w:r w:rsidRPr="00DC7E41">
              <w:rPr>
                <w:sz w:val="20"/>
                <w:szCs w:val="20"/>
              </w:rPr>
              <w:t xml:space="preserve">?  </w:t>
            </w:r>
            <w:r w:rsidRPr="00DC7E41">
              <w:rPr>
                <w:b/>
                <w:bCs/>
                <w:sz w:val="20"/>
                <w:szCs w:val="20"/>
              </w:rPr>
              <w:t>(</w:t>
            </w:r>
            <w:r w:rsidR="008D5790">
              <w:rPr>
                <w:b/>
                <w:bCs/>
                <w:sz w:val="20"/>
                <w:szCs w:val="20"/>
              </w:rPr>
              <w:t>2</w:t>
            </w:r>
            <w:r w:rsidR="00B425DB">
              <w:rPr>
                <w:b/>
                <w:bCs/>
                <w:sz w:val="20"/>
                <w:szCs w:val="20"/>
              </w:rPr>
              <w:t xml:space="preserve"> of 1</w:t>
            </w:r>
            <w:r w:rsidR="008D5790">
              <w:rPr>
                <w:b/>
                <w:bCs/>
                <w:sz w:val="20"/>
                <w:szCs w:val="20"/>
              </w:rPr>
              <w:t>5</w:t>
            </w:r>
            <w:r w:rsidRPr="00DC7E41">
              <w:rPr>
                <w:b/>
                <w:bCs/>
                <w:sz w:val="20"/>
                <w:szCs w:val="20"/>
              </w:rPr>
              <w:t xml:space="preserve">)  </w:t>
            </w:r>
          </w:p>
          <w:p w14:paraId="43C3D65D" w14:textId="77777777" w:rsidR="00387990" w:rsidRDefault="00387990">
            <w:pPr>
              <w:rPr>
                <w:b/>
                <w:bCs/>
                <w:sz w:val="8"/>
              </w:rPr>
            </w:pPr>
          </w:p>
          <w:p w14:paraId="4B039290" w14:textId="77777777" w:rsidR="00387990" w:rsidRDefault="00387990">
            <w:pPr>
              <w:ind w:left="353"/>
              <w:rPr>
                <w:sz w:val="20"/>
              </w:rPr>
            </w:pPr>
            <w:r>
              <w:rPr>
                <w:b/>
                <w:bCs/>
                <w:sz w:val="20"/>
              </w:rPr>
              <w:t xml:space="preserve">Note 1:  </w:t>
            </w:r>
            <w:r>
              <w:rPr>
                <w:sz w:val="20"/>
              </w:rPr>
              <w:t xml:space="preserve">An independent accountant is considered acceptable in lieu of an independent department provided all required standards are met.  </w:t>
            </w:r>
          </w:p>
          <w:p w14:paraId="631A83EA" w14:textId="77777777" w:rsidR="005A336A" w:rsidRDefault="005A336A">
            <w:pPr>
              <w:ind w:left="353"/>
              <w:rPr>
                <w:b/>
                <w:bCs/>
                <w:sz w:val="8"/>
              </w:rPr>
            </w:pPr>
          </w:p>
          <w:p w14:paraId="0B438D8A" w14:textId="3F716D80" w:rsidR="00387990" w:rsidRDefault="00387990" w:rsidP="00CA0098">
            <w:pPr>
              <w:ind w:left="353"/>
              <w:rPr>
                <w:b/>
                <w:bCs/>
                <w:sz w:val="20"/>
              </w:rPr>
            </w:pPr>
            <w:r>
              <w:rPr>
                <w:b/>
                <w:bCs/>
                <w:sz w:val="20"/>
              </w:rPr>
              <w:t>Note 2:</w:t>
            </w:r>
            <w:r>
              <w:rPr>
                <w:sz w:val="20"/>
              </w:rPr>
              <w:t xml:space="preserve">  The answer to question 1 should be yes if a single licensee had gross gaming revenue in excess of $10 million for the 12 months ended June 30</w:t>
            </w:r>
            <w:r>
              <w:rPr>
                <w:sz w:val="20"/>
                <w:vertAlign w:val="superscript"/>
              </w:rPr>
              <w:t>th</w:t>
            </w:r>
            <w:r>
              <w:rPr>
                <w:sz w:val="20"/>
              </w:rPr>
              <w:t xml:space="preserve">; </w:t>
            </w:r>
            <w:r>
              <w:rPr>
                <w:sz w:val="20"/>
                <w:u w:val="single"/>
              </w:rPr>
              <w:t>or</w:t>
            </w:r>
            <w:r>
              <w:rPr>
                <w:sz w:val="20"/>
              </w:rPr>
              <w:t xml:space="preserve"> two or more </w:t>
            </w:r>
            <w:r w:rsidR="009D6DCB" w:rsidRPr="005A336A">
              <w:rPr>
                <w:sz w:val="20"/>
              </w:rPr>
              <w:t>Group I</w:t>
            </w:r>
            <w:r w:rsidR="009D6DCB" w:rsidRPr="009D6DCB">
              <w:rPr>
                <w:sz w:val="20"/>
              </w:rPr>
              <w:t xml:space="preserve"> </w:t>
            </w:r>
            <w:r>
              <w:rPr>
                <w:sz w:val="20"/>
              </w:rPr>
              <w:t>licensees with essentially common ownership and/or management that had combined gross gaming revenue in excess of $10 million for the 12 months ended June 30</w:t>
            </w:r>
            <w:r>
              <w:rPr>
                <w:sz w:val="20"/>
                <w:vertAlign w:val="superscript"/>
              </w:rPr>
              <w:t>th</w:t>
            </w:r>
            <w:r>
              <w:rPr>
                <w:sz w:val="20"/>
              </w:rPr>
              <w:t xml:space="preserve"> (in such cases, a single internal audit department for the combined properties is adequate).  </w:t>
            </w:r>
            <w:r w:rsidRPr="00DC7E41">
              <w:rPr>
                <w:b/>
                <w:bCs/>
                <w:sz w:val="20"/>
                <w:szCs w:val="20"/>
              </w:rPr>
              <w:t>(</w:t>
            </w:r>
            <w:r w:rsidR="00C2024D">
              <w:rPr>
                <w:b/>
                <w:bCs/>
                <w:sz w:val="20"/>
                <w:szCs w:val="20"/>
              </w:rPr>
              <w:t>2</w:t>
            </w:r>
            <w:r w:rsidR="00363EF2">
              <w:rPr>
                <w:b/>
                <w:bCs/>
                <w:sz w:val="20"/>
                <w:szCs w:val="20"/>
              </w:rPr>
              <w:t xml:space="preserve"> of 1</w:t>
            </w:r>
            <w:r w:rsidR="00C2024D">
              <w:rPr>
                <w:b/>
                <w:bCs/>
                <w:sz w:val="20"/>
                <w:szCs w:val="20"/>
              </w:rPr>
              <w:t>5</w:t>
            </w:r>
            <w:r w:rsidRPr="00DC7E41">
              <w:rPr>
                <w:b/>
                <w:bCs/>
                <w:sz w:val="20"/>
                <w:szCs w:val="20"/>
              </w:rPr>
              <w:t>)</w:t>
            </w:r>
          </w:p>
        </w:tc>
        <w:tc>
          <w:tcPr>
            <w:tcW w:w="720" w:type="dxa"/>
            <w:gridSpan w:val="2"/>
          </w:tcPr>
          <w:p w14:paraId="39999F54" w14:textId="77777777" w:rsidR="00387990" w:rsidRDefault="00387990">
            <w:pPr>
              <w:ind w:left="720"/>
              <w:rPr>
                <w:sz w:val="20"/>
              </w:rPr>
            </w:pPr>
          </w:p>
        </w:tc>
        <w:tc>
          <w:tcPr>
            <w:tcW w:w="720" w:type="dxa"/>
            <w:gridSpan w:val="2"/>
          </w:tcPr>
          <w:p w14:paraId="55823C32" w14:textId="77777777" w:rsidR="00387990" w:rsidRDefault="00387990">
            <w:pPr>
              <w:rPr>
                <w:sz w:val="20"/>
              </w:rPr>
            </w:pPr>
          </w:p>
        </w:tc>
        <w:tc>
          <w:tcPr>
            <w:tcW w:w="720" w:type="dxa"/>
            <w:gridSpan w:val="2"/>
          </w:tcPr>
          <w:p w14:paraId="004C2C79" w14:textId="77777777" w:rsidR="00387990" w:rsidRDefault="00387990">
            <w:pPr>
              <w:rPr>
                <w:sz w:val="20"/>
              </w:rPr>
            </w:pPr>
          </w:p>
        </w:tc>
        <w:tc>
          <w:tcPr>
            <w:tcW w:w="2988" w:type="dxa"/>
            <w:gridSpan w:val="2"/>
          </w:tcPr>
          <w:p w14:paraId="0552DD6D" w14:textId="77777777" w:rsidR="00387990" w:rsidRDefault="00387990">
            <w:pPr>
              <w:rPr>
                <w:sz w:val="20"/>
              </w:rPr>
            </w:pPr>
          </w:p>
        </w:tc>
      </w:tr>
      <w:tr w:rsidR="00387990" w14:paraId="01E7FE14" w14:textId="77777777">
        <w:trPr>
          <w:gridBefore w:val="1"/>
          <w:wBefore w:w="7" w:type="dxa"/>
          <w:cantSplit/>
        </w:trPr>
        <w:tc>
          <w:tcPr>
            <w:tcW w:w="5868" w:type="dxa"/>
            <w:gridSpan w:val="2"/>
            <w:tcMar>
              <w:left w:w="115" w:type="dxa"/>
              <w:bottom w:w="144" w:type="dxa"/>
              <w:right w:w="115" w:type="dxa"/>
            </w:tcMar>
          </w:tcPr>
          <w:p w14:paraId="014D2CE9" w14:textId="7D82A1C9" w:rsidR="00387990" w:rsidRDefault="00387990">
            <w:pPr>
              <w:numPr>
                <w:ilvl w:val="0"/>
                <w:numId w:val="15"/>
              </w:numPr>
              <w:rPr>
                <w:sz w:val="20"/>
              </w:rPr>
            </w:pPr>
            <w:r>
              <w:rPr>
                <w:sz w:val="20"/>
              </w:rPr>
              <w:t>For licensees who are not required to maintain a separate internal audit department, are personnel who perform internal audit work independent with respect to the departments/procedures being examined</w:t>
            </w:r>
            <w:r w:rsidR="00553627">
              <w:rPr>
                <w:sz w:val="20"/>
              </w:rPr>
              <w:t xml:space="preserve"> </w:t>
            </w:r>
            <w:r w:rsidR="00553627" w:rsidRPr="005A336A">
              <w:rPr>
                <w:sz w:val="20"/>
              </w:rPr>
              <w:t xml:space="preserve">and satisfy the </w:t>
            </w:r>
            <w:r w:rsidR="00112DFE" w:rsidRPr="005A336A">
              <w:rPr>
                <w:sz w:val="20"/>
              </w:rPr>
              <w:t xml:space="preserve">education or experience </w:t>
            </w:r>
            <w:r w:rsidR="00553627" w:rsidRPr="005A336A">
              <w:rPr>
                <w:sz w:val="20"/>
              </w:rPr>
              <w:t>criteria to perform internal audit work</w:t>
            </w:r>
            <w:r>
              <w:rPr>
                <w:sz w:val="20"/>
              </w:rPr>
              <w:t xml:space="preserve">?  </w:t>
            </w:r>
            <w:r>
              <w:rPr>
                <w:b/>
                <w:bCs/>
                <w:sz w:val="20"/>
              </w:rPr>
              <w:t>(2</w:t>
            </w:r>
            <w:r w:rsidR="00553627">
              <w:rPr>
                <w:b/>
                <w:bCs/>
                <w:sz w:val="20"/>
              </w:rPr>
              <w:t xml:space="preserve"> </w:t>
            </w:r>
            <w:r w:rsidR="00B425DB">
              <w:rPr>
                <w:b/>
                <w:bCs/>
                <w:sz w:val="20"/>
              </w:rPr>
              <w:t>of 1</w:t>
            </w:r>
            <w:r w:rsidR="008B1A74">
              <w:rPr>
                <w:b/>
                <w:bCs/>
                <w:sz w:val="20"/>
              </w:rPr>
              <w:t>5</w:t>
            </w:r>
            <w:r>
              <w:rPr>
                <w:b/>
                <w:bCs/>
                <w:sz w:val="20"/>
              </w:rPr>
              <w:t>)  Indicate the job positions of the individuals performing the work.</w:t>
            </w:r>
          </w:p>
        </w:tc>
        <w:tc>
          <w:tcPr>
            <w:tcW w:w="720" w:type="dxa"/>
            <w:gridSpan w:val="2"/>
            <w:tcBorders>
              <w:bottom w:val="single" w:sz="4" w:space="0" w:color="auto"/>
            </w:tcBorders>
          </w:tcPr>
          <w:p w14:paraId="08C08871" w14:textId="77777777" w:rsidR="00387990" w:rsidRDefault="00387990">
            <w:pPr>
              <w:rPr>
                <w:sz w:val="20"/>
              </w:rPr>
            </w:pPr>
          </w:p>
        </w:tc>
        <w:tc>
          <w:tcPr>
            <w:tcW w:w="720" w:type="dxa"/>
            <w:gridSpan w:val="2"/>
            <w:tcBorders>
              <w:bottom w:val="single" w:sz="4" w:space="0" w:color="auto"/>
            </w:tcBorders>
          </w:tcPr>
          <w:p w14:paraId="5D3F0774" w14:textId="77777777" w:rsidR="00387990" w:rsidRDefault="00387990">
            <w:pPr>
              <w:rPr>
                <w:sz w:val="20"/>
              </w:rPr>
            </w:pPr>
          </w:p>
        </w:tc>
        <w:tc>
          <w:tcPr>
            <w:tcW w:w="720" w:type="dxa"/>
            <w:gridSpan w:val="2"/>
            <w:tcBorders>
              <w:bottom w:val="single" w:sz="4" w:space="0" w:color="auto"/>
            </w:tcBorders>
          </w:tcPr>
          <w:p w14:paraId="560DDF85" w14:textId="77777777" w:rsidR="00387990" w:rsidRDefault="00387990">
            <w:pPr>
              <w:rPr>
                <w:sz w:val="20"/>
              </w:rPr>
            </w:pPr>
          </w:p>
        </w:tc>
        <w:tc>
          <w:tcPr>
            <w:tcW w:w="2988" w:type="dxa"/>
            <w:gridSpan w:val="2"/>
            <w:tcBorders>
              <w:bottom w:val="single" w:sz="4" w:space="0" w:color="auto"/>
            </w:tcBorders>
          </w:tcPr>
          <w:p w14:paraId="6D44C289" w14:textId="77777777" w:rsidR="00387990" w:rsidRDefault="00387990">
            <w:pPr>
              <w:rPr>
                <w:sz w:val="20"/>
              </w:rPr>
            </w:pPr>
          </w:p>
        </w:tc>
      </w:tr>
      <w:tr w:rsidR="00387990" w14:paraId="489FEFC1" w14:textId="77777777" w:rsidTr="009224AF">
        <w:trPr>
          <w:gridBefore w:val="1"/>
          <w:wBefore w:w="7" w:type="dxa"/>
          <w:cantSplit/>
        </w:trPr>
        <w:tc>
          <w:tcPr>
            <w:tcW w:w="5868" w:type="dxa"/>
            <w:gridSpan w:val="2"/>
            <w:tcMar>
              <w:left w:w="115" w:type="dxa"/>
              <w:bottom w:w="0" w:type="dxa"/>
              <w:right w:w="115" w:type="dxa"/>
            </w:tcMar>
          </w:tcPr>
          <w:p w14:paraId="3C0B05EE" w14:textId="17859781" w:rsidR="00387990" w:rsidRDefault="00387990" w:rsidP="000C7DA3">
            <w:pPr>
              <w:numPr>
                <w:ilvl w:val="0"/>
                <w:numId w:val="3"/>
              </w:numPr>
              <w:rPr>
                <w:sz w:val="20"/>
              </w:rPr>
            </w:pPr>
            <w:r>
              <w:rPr>
                <w:sz w:val="20"/>
              </w:rPr>
              <w:t xml:space="preserve">Are the following Internal Audit Compliance Checklists, and all associated CPA MICS Compliance Checklists, completed as applicable to the operation:  </w:t>
            </w:r>
            <w:r>
              <w:rPr>
                <w:b/>
                <w:bCs/>
                <w:sz w:val="20"/>
              </w:rPr>
              <w:t>(3</w:t>
            </w:r>
            <w:r w:rsidR="00DE0A00">
              <w:rPr>
                <w:b/>
                <w:bCs/>
                <w:sz w:val="20"/>
              </w:rPr>
              <w:t xml:space="preserve"> </w:t>
            </w:r>
            <w:r w:rsidR="00B425DB">
              <w:rPr>
                <w:b/>
                <w:bCs/>
                <w:sz w:val="20"/>
              </w:rPr>
              <w:t>–</w:t>
            </w:r>
            <w:r w:rsidR="00CA0098">
              <w:rPr>
                <w:b/>
                <w:bCs/>
                <w:sz w:val="20"/>
              </w:rPr>
              <w:t xml:space="preserve"> 4</w:t>
            </w:r>
            <w:r w:rsidR="00B425DB">
              <w:rPr>
                <w:b/>
                <w:bCs/>
                <w:sz w:val="20"/>
              </w:rPr>
              <w:t xml:space="preserve"> of 1</w:t>
            </w:r>
            <w:r w:rsidR="00850460">
              <w:rPr>
                <w:b/>
                <w:bCs/>
                <w:sz w:val="20"/>
              </w:rPr>
              <w:t>5</w:t>
            </w:r>
            <w:r>
              <w:rPr>
                <w:b/>
                <w:bCs/>
                <w:sz w:val="20"/>
              </w:rPr>
              <w:t>)</w:t>
            </w:r>
            <w:r>
              <w:rPr>
                <w:sz w:val="20"/>
              </w:rPr>
              <w:t xml:space="preserve">  </w:t>
            </w:r>
          </w:p>
          <w:p w14:paraId="0DEF4BF1" w14:textId="77777777" w:rsidR="00387990" w:rsidRDefault="00387990">
            <w:pPr>
              <w:rPr>
                <w:sz w:val="20"/>
              </w:rPr>
            </w:pPr>
          </w:p>
          <w:p w14:paraId="304103D1" w14:textId="77777777" w:rsidR="00387990" w:rsidRDefault="00387990">
            <w:pPr>
              <w:pStyle w:val="BodyTextIndent2"/>
            </w:pPr>
            <w:r w:rsidRPr="009224AF">
              <w:rPr>
                <w:b/>
              </w:rPr>
              <w:t>Note:</w:t>
            </w:r>
            <w:r>
              <w:t xml:space="preserve"> The CPA MICS Compliance Checklists are completed in conjunction with the applicable Internal Audit walk-through procedures as denoted in the internal audit compliance checklist.</w:t>
            </w:r>
          </w:p>
          <w:p w14:paraId="493C234B" w14:textId="77777777" w:rsidR="00387990" w:rsidRDefault="00387990">
            <w:pPr>
              <w:ind w:left="353"/>
              <w:rPr>
                <w:sz w:val="20"/>
              </w:rPr>
            </w:pPr>
          </w:p>
        </w:tc>
        <w:tc>
          <w:tcPr>
            <w:tcW w:w="720" w:type="dxa"/>
            <w:gridSpan w:val="2"/>
            <w:tcBorders>
              <w:bottom w:val="single" w:sz="4" w:space="0" w:color="auto"/>
            </w:tcBorders>
            <w:shd w:val="clear" w:color="auto" w:fill="auto"/>
          </w:tcPr>
          <w:p w14:paraId="2322E132" w14:textId="77777777" w:rsidR="00387990" w:rsidRDefault="00387990">
            <w:pPr>
              <w:rPr>
                <w:sz w:val="20"/>
              </w:rPr>
            </w:pPr>
          </w:p>
        </w:tc>
        <w:tc>
          <w:tcPr>
            <w:tcW w:w="720" w:type="dxa"/>
            <w:gridSpan w:val="2"/>
            <w:tcBorders>
              <w:bottom w:val="single" w:sz="4" w:space="0" w:color="auto"/>
            </w:tcBorders>
            <w:shd w:val="clear" w:color="auto" w:fill="auto"/>
          </w:tcPr>
          <w:p w14:paraId="0C25F2B0" w14:textId="77777777" w:rsidR="00387990" w:rsidRDefault="00387990">
            <w:pPr>
              <w:rPr>
                <w:sz w:val="20"/>
              </w:rPr>
            </w:pPr>
          </w:p>
        </w:tc>
        <w:tc>
          <w:tcPr>
            <w:tcW w:w="720" w:type="dxa"/>
            <w:gridSpan w:val="2"/>
            <w:tcBorders>
              <w:bottom w:val="single" w:sz="4" w:space="0" w:color="auto"/>
            </w:tcBorders>
            <w:shd w:val="clear" w:color="auto" w:fill="auto"/>
          </w:tcPr>
          <w:p w14:paraId="26DC1445" w14:textId="77777777" w:rsidR="00387990" w:rsidRDefault="00387990">
            <w:pPr>
              <w:rPr>
                <w:sz w:val="20"/>
              </w:rPr>
            </w:pPr>
          </w:p>
        </w:tc>
        <w:tc>
          <w:tcPr>
            <w:tcW w:w="2988" w:type="dxa"/>
            <w:gridSpan w:val="2"/>
            <w:tcBorders>
              <w:bottom w:val="single" w:sz="4" w:space="0" w:color="auto"/>
            </w:tcBorders>
            <w:shd w:val="clear" w:color="auto" w:fill="auto"/>
          </w:tcPr>
          <w:p w14:paraId="640255BC" w14:textId="77777777" w:rsidR="00387990" w:rsidRDefault="00387990">
            <w:pPr>
              <w:rPr>
                <w:sz w:val="20"/>
              </w:rPr>
            </w:pPr>
          </w:p>
        </w:tc>
      </w:tr>
      <w:tr w:rsidR="00387990" w14:paraId="72BE5C80" w14:textId="77777777" w:rsidTr="009224AF">
        <w:trPr>
          <w:gridBefore w:val="1"/>
          <w:wBefore w:w="7" w:type="dxa"/>
          <w:cantSplit/>
        </w:trPr>
        <w:tc>
          <w:tcPr>
            <w:tcW w:w="5868" w:type="dxa"/>
            <w:gridSpan w:val="2"/>
            <w:tcMar>
              <w:left w:w="115" w:type="dxa"/>
              <w:bottom w:w="144" w:type="dxa"/>
              <w:right w:w="115" w:type="dxa"/>
            </w:tcMar>
          </w:tcPr>
          <w:p w14:paraId="3ABD8C84" w14:textId="77777777" w:rsidR="00387990" w:rsidRDefault="00387990">
            <w:pPr>
              <w:ind w:left="353"/>
              <w:rPr>
                <w:b/>
                <w:bCs/>
                <w:sz w:val="20"/>
              </w:rPr>
            </w:pPr>
            <w:r>
              <w:rPr>
                <w:b/>
                <w:bCs/>
                <w:sz w:val="20"/>
              </w:rPr>
              <w:t>A review of each checklist is required to determine that all procedures have been completed for the indicated period.  For each checklist, indicate the review period of the checklist reviewed and the results of the review.</w:t>
            </w:r>
          </w:p>
        </w:tc>
        <w:tc>
          <w:tcPr>
            <w:tcW w:w="720" w:type="dxa"/>
            <w:gridSpan w:val="2"/>
            <w:shd w:val="clear" w:color="auto" w:fill="D9D9D9"/>
          </w:tcPr>
          <w:p w14:paraId="14C46FC9" w14:textId="77777777" w:rsidR="00387990" w:rsidRDefault="00387990">
            <w:pPr>
              <w:rPr>
                <w:sz w:val="20"/>
              </w:rPr>
            </w:pPr>
          </w:p>
        </w:tc>
        <w:tc>
          <w:tcPr>
            <w:tcW w:w="720" w:type="dxa"/>
            <w:gridSpan w:val="2"/>
            <w:shd w:val="clear" w:color="auto" w:fill="D9D9D9"/>
          </w:tcPr>
          <w:p w14:paraId="4F011E9A" w14:textId="77777777" w:rsidR="00387990" w:rsidRDefault="00387990">
            <w:pPr>
              <w:rPr>
                <w:sz w:val="20"/>
              </w:rPr>
            </w:pPr>
          </w:p>
        </w:tc>
        <w:tc>
          <w:tcPr>
            <w:tcW w:w="720" w:type="dxa"/>
            <w:gridSpan w:val="2"/>
            <w:shd w:val="clear" w:color="auto" w:fill="D9D9D9"/>
          </w:tcPr>
          <w:p w14:paraId="78FFD6B4" w14:textId="77777777" w:rsidR="00387990" w:rsidRDefault="00387990">
            <w:pPr>
              <w:rPr>
                <w:sz w:val="20"/>
              </w:rPr>
            </w:pPr>
          </w:p>
        </w:tc>
        <w:tc>
          <w:tcPr>
            <w:tcW w:w="2988" w:type="dxa"/>
            <w:gridSpan w:val="2"/>
            <w:shd w:val="clear" w:color="auto" w:fill="D9D9D9"/>
          </w:tcPr>
          <w:p w14:paraId="09DCB2A7" w14:textId="77777777" w:rsidR="00387990" w:rsidRDefault="00387990">
            <w:pPr>
              <w:rPr>
                <w:sz w:val="20"/>
              </w:rPr>
            </w:pPr>
          </w:p>
        </w:tc>
      </w:tr>
      <w:tr w:rsidR="00387990" w14:paraId="674A23E2" w14:textId="77777777">
        <w:trPr>
          <w:gridBefore w:val="1"/>
          <w:wBefore w:w="7" w:type="dxa"/>
          <w:cantSplit/>
        </w:trPr>
        <w:tc>
          <w:tcPr>
            <w:tcW w:w="5868" w:type="dxa"/>
            <w:gridSpan w:val="2"/>
            <w:tcMar>
              <w:left w:w="115" w:type="dxa"/>
              <w:bottom w:w="144" w:type="dxa"/>
              <w:right w:w="115" w:type="dxa"/>
            </w:tcMar>
          </w:tcPr>
          <w:p w14:paraId="0BEF7E4F" w14:textId="77777777" w:rsidR="00387990" w:rsidRDefault="00387990">
            <w:pPr>
              <w:numPr>
                <w:ilvl w:val="1"/>
                <w:numId w:val="3"/>
              </w:numPr>
              <w:ind w:left="713" w:hanging="360"/>
              <w:rPr>
                <w:sz w:val="20"/>
              </w:rPr>
            </w:pPr>
            <w:r>
              <w:rPr>
                <w:sz w:val="20"/>
              </w:rPr>
              <w:t xml:space="preserve">Slots – General Walk-through Procedures, Drop and Count Walk-through Procedures and Testing Procedures once in each six-month period, not in consecutive months?  </w:t>
            </w:r>
          </w:p>
        </w:tc>
        <w:tc>
          <w:tcPr>
            <w:tcW w:w="720" w:type="dxa"/>
            <w:gridSpan w:val="2"/>
          </w:tcPr>
          <w:p w14:paraId="7DCD4E13" w14:textId="77777777" w:rsidR="00387990" w:rsidRDefault="00387990">
            <w:pPr>
              <w:rPr>
                <w:sz w:val="20"/>
              </w:rPr>
            </w:pPr>
          </w:p>
        </w:tc>
        <w:tc>
          <w:tcPr>
            <w:tcW w:w="720" w:type="dxa"/>
            <w:gridSpan w:val="2"/>
          </w:tcPr>
          <w:p w14:paraId="483923A4" w14:textId="77777777" w:rsidR="00387990" w:rsidRDefault="00387990">
            <w:pPr>
              <w:rPr>
                <w:sz w:val="20"/>
              </w:rPr>
            </w:pPr>
          </w:p>
        </w:tc>
        <w:tc>
          <w:tcPr>
            <w:tcW w:w="720" w:type="dxa"/>
            <w:gridSpan w:val="2"/>
          </w:tcPr>
          <w:p w14:paraId="5319246B" w14:textId="77777777" w:rsidR="00387990" w:rsidRDefault="00387990">
            <w:pPr>
              <w:rPr>
                <w:sz w:val="20"/>
              </w:rPr>
            </w:pPr>
          </w:p>
        </w:tc>
        <w:tc>
          <w:tcPr>
            <w:tcW w:w="2988" w:type="dxa"/>
            <w:gridSpan w:val="2"/>
          </w:tcPr>
          <w:p w14:paraId="0696EE8C" w14:textId="77777777" w:rsidR="00387990" w:rsidRDefault="00387990">
            <w:pPr>
              <w:rPr>
                <w:sz w:val="20"/>
              </w:rPr>
            </w:pPr>
          </w:p>
        </w:tc>
      </w:tr>
      <w:tr w:rsidR="00387990" w14:paraId="05C7F3B9" w14:textId="77777777">
        <w:trPr>
          <w:gridBefore w:val="1"/>
          <w:wBefore w:w="7" w:type="dxa"/>
          <w:cantSplit/>
        </w:trPr>
        <w:tc>
          <w:tcPr>
            <w:tcW w:w="5868" w:type="dxa"/>
            <w:gridSpan w:val="2"/>
            <w:tcMar>
              <w:left w:w="115" w:type="dxa"/>
              <w:bottom w:w="144" w:type="dxa"/>
              <w:right w:w="115" w:type="dxa"/>
            </w:tcMar>
          </w:tcPr>
          <w:p w14:paraId="224F89B1" w14:textId="77777777" w:rsidR="00387990" w:rsidRDefault="00387990">
            <w:pPr>
              <w:numPr>
                <w:ilvl w:val="1"/>
                <w:numId w:val="3"/>
              </w:numPr>
              <w:ind w:left="720" w:hanging="360"/>
              <w:rPr>
                <w:sz w:val="20"/>
              </w:rPr>
            </w:pPr>
            <w:r>
              <w:rPr>
                <w:sz w:val="20"/>
              </w:rPr>
              <w:t xml:space="preserve">Table Games – General Walk-through Procedures, Soft Drop and Count Procedures and Testing Procedures once in each six-month period, not in consecutive months?  </w:t>
            </w:r>
          </w:p>
        </w:tc>
        <w:tc>
          <w:tcPr>
            <w:tcW w:w="720" w:type="dxa"/>
            <w:gridSpan w:val="2"/>
          </w:tcPr>
          <w:p w14:paraId="6062170D" w14:textId="77777777" w:rsidR="00387990" w:rsidRDefault="00387990">
            <w:pPr>
              <w:rPr>
                <w:sz w:val="20"/>
              </w:rPr>
            </w:pPr>
          </w:p>
        </w:tc>
        <w:tc>
          <w:tcPr>
            <w:tcW w:w="720" w:type="dxa"/>
            <w:gridSpan w:val="2"/>
          </w:tcPr>
          <w:p w14:paraId="2E1B4011" w14:textId="77777777" w:rsidR="00387990" w:rsidRDefault="00387990">
            <w:pPr>
              <w:rPr>
                <w:sz w:val="20"/>
              </w:rPr>
            </w:pPr>
          </w:p>
        </w:tc>
        <w:tc>
          <w:tcPr>
            <w:tcW w:w="720" w:type="dxa"/>
            <w:gridSpan w:val="2"/>
          </w:tcPr>
          <w:p w14:paraId="667586B1" w14:textId="77777777" w:rsidR="00387990" w:rsidRDefault="00387990">
            <w:pPr>
              <w:rPr>
                <w:sz w:val="20"/>
              </w:rPr>
            </w:pPr>
          </w:p>
        </w:tc>
        <w:tc>
          <w:tcPr>
            <w:tcW w:w="2988" w:type="dxa"/>
            <w:gridSpan w:val="2"/>
          </w:tcPr>
          <w:p w14:paraId="45BD2F2F" w14:textId="77777777" w:rsidR="00387990" w:rsidRDefault="00387990">
            <w:pPr>
              <w:rPr>
                <w:sz w:val="20"/>
              </w:rPr>
            </w:pPr>
          </w:p>
        </w:tc>
      </w:tr>
      <w:tr w:rsidR="00387990" w14:paraId="0DD05573" w14:textId="77777777">
        <w:trPr>
          <w:gridBefore w:val="1"/>
          <w:wBefore w:w="7" w:type="dxa"/>
          <w:cantSplit/>
        </w:trPr>
        <w:tc>
          <w:tcPr>
            <w:tcW w:w="5868" w:type="dxa"/>
            <w:gridSpan w:val="2"/>
            <w:tcMar>
              <w:left w:w="115" w:type="dxa"/>
              <w:bottom w:w="144" w:type="dxa"/>
              <w:right w:w="115" w:type="dxa"/>
            </w:tcMar>
          </w:tcPr>
          <w:p w14:paraId="62DDA4EC" w14:textId="77777777" w:rsidR="00387990" w:rsidRDefault="00387990">
            <w:pPr>
              <w:numPr>
                <w:ilvl w:val="1"/>
                <w:numId w:val="3"/>
              </w:numPr>
              <w:ind w:left="720" w:hanging="360"/>
              <w:rPr>
                <w:sz w:val="20"/>
              </w:rPr>
            </w:pPr>
            <w:r>
              <w:rPr>
                <w:sz w:val="20"/>
              </w:rPr>
              <w:lastRenderedPageBreak/>
              <w:t xml:space="preserve">Card Games – Walk-through Procedures and Testing Procedures once per year?  </w:t>
            </w:r>
          </w:p>
        </w:tc>
        <w:tc>
          <w:tcPr>
            <w:tcW w:w="720" w:type="dxa"/>
            <w:gridSpan w:val="2"/>
          </w:tcPr>
          <w:p w14:paraId="6C0CCBB9" w14:textId="77777777" w:rsidR="00387990" w:rsidRDefault="00387990">
            <w:pPr>
              <w:rPr>
                <w:sz w:val="20"/>
              </w:rPr>
            </w:pPr>
          </w:p>
        </w:tc>
        <w:tc>
          <w:tcPr>
            <w:tcW w:w="720" w:type="dxa"/>
            <w:gridSpan w:val="2"/>
          </w:tcPr>
          <w:p w14:paraId="41F057D1" w14:textId="77777777" w:rsidR="00387990" w:rsidRDefault="00387990">
            <w:pPr>
              <w:rPr>
                <w:sz w:val="20"/>
              </w:rPr>
            </w:pPr>
          </w:p>
        </w:tc>
        <w:tc>
          <w:tcPr>
            <w:tcW w:w="720" w:type="dxa"/>
            <w:gridSpan w:val="2"/>
          </w:tcPr>
          <w:p w14:paraId="3C65BE13" w14:textId="77777777" w:rsidR="00387990" w:rsidRDefault="00387990">
            <w:pPr>
              <w:rPr>
                <w:sz w:val="20"/>
              </w:rPr>
            </w:pPr>
          </w:p>
        </w:tc>
        <w:tc>
          <w:tcPr>
            <w:tcW w:w="2988" w:type="dxa"/>
            <w:gridSpan w:val="2"/>
          </w:tcPr>
          <w:p w14:paraId="2639ADE1" w14:textId="77777777" w:rsidR="00387990" w:rsidRDefault="00387990">
            <w:pPr>
              <w:rPr>
                <w:sz w:val="20"/>
              </w:rPr>
            </w:pPr>
          </w:p>
        </w:tc>
      </w:tr>
      <w:tr w:rsidR="00387990" w14:paraId="725AD912" w14:textId="77777777">
        <w:trPr>
          <w:gridBefore w:val="1"/>
          <w:wBefore w:w="7" w:type="dxa"/>
          <w:cantSplit/>
        </w:trPr>
        <w:tc>
          <w:tcPr>
            <w:tcW w:w="5868" w:type="dxa"/>
            <w:gridSpan w:val="2"/>
            <w:tcMar>
              <w:left w:w="115" w:type="dxa"/>
              <w:bottom w:w="144" w:type="dxa"/>
              <w:right w:w="115" w:type="dxa"/>
            </w:tcMar>
          </w:tcPr>
          <w:p w14:paraId="0C6AE5E9" w14:textId="77777777" w:rsidR="00387990" w:rsidRDefault="00387990">
            <w:pPr>
              <w:numPr>
                <w:ilvl w:val="1"/>
                <w:numId w:val="3"/>
              </w:numPr>
              <w:ind w:left="720" w:hanging="360"/>
              <w:rPr>
                <w:sz w:val="20"/>
              </w:rPr>
            </w:pPr>
            <w:r>
              <w:rPr>
                <w:sz w:val="20"/>
              </w:rPr>
              <w:t xml:space="preserve">Keno – Walk-through Procedures and Testing Procedures once per year?  </w:t>
            </w:r>
          </w:p>
        </w:tc>
        <w:tc>
          <w:tcPr>
            <w:tcW w:w="720" w:type="dxa"/>
            <w:gridSpan w:val="2"/>
          </w:tcPr>
          <w:p w14:paraId="7C02D9E8" w14:textId="77777777" w:rsidR="00387990" w:rsidRDefault="00387990">
            <w:pPr>
              <w:rPr>
                <w:sz w:val="20"/>
              </w:rPr>
            </w:pPr>
          </w:p>
        </w:tc>
        <w:tc>
          <w:tcPr>
            <w:tcW w:w="720" w:type="dxa"/>
            <w:gridSpan w:val="2"/>
          </w:tcPr>
          <w:p w14:paraId="146E9750" w14:textId="77777777" w:rsidR="00387990" w:rsidRDefault="00387990">
            <w:pPr>
              <w:rPr>
                <w:sz w:val="20"/>
              </w:rPr>
            </w:pPr>
          </w:p>
        </w:tc>
        <w:tc>
          <w:tcPr>
            <w:tcW w:w="720" w:type="dxa"/>
            <w:gridSpan w:val="2"/>
          </w:tcPr>
          <w:p w14:paraId="71AF9F9E" w14:textId="77777777" w:rsidR="00387990" w:rsidRDefault="00387990">
            <w:pPr>
              <w:rPr>
                <w:sz w:val="20"/>
              </w:rPr>
            </w:pPr>
          </w:p>
        </w:tc>
        <w:tc>
          <w:tcPr>
            <w:tcW w:w="2988" w:type="dxa"/>
            <w:gridSpan w:val="2"/>
          </w:tcPr>
          <w:p w14:paraId="798B5C24" w14:textId="77777777" w:rsidR="00387990" w:rsidRDefault="00387990">
            <w:pPr>
              <w:rPr>
                <w:sz w:val="20"/>
              </w:rPr>
            </w:pPr>
          </w:p>
        </w:tc>
      </w:tr>
      <w:tr w:rsidR="00387990" w14:paraId="0A99229F" w14:textId="77777777">
        <w:trPr>
          <w:gridBefore w:val="1"/>
          <w:wBefore w:w="7" w:type="dxa"/>
          <w:cantSplit/>
        </w:trPr>
        <w:tc>
          <w:tcPr>
            <w:tcW w:w="5868" w:type="dxa"/>
            <w:gridSpan w:val="2"/>
            <w:tcMar>
              <w:left w:w="115" w:type="dxa"/>
              <w:bottom w:w="144" w:type="dxa"/>
              <w:right w:w="115" w:type="dxa"/>
            </w:tcMar>
          </w:tcPr>
          <w:p w14:paraId="22467B75" w14:textId="77777777" w:rsidR="00387990" w:rsidRDefault="00387990">
            <w:pPr>
              <w:numPr>
                <w:ilvl w:val="1"/>
                <w:numId w:val="3"/>
              </w:numPr>
              <w:ind w:left="720" w:hanging="360"/>
              <w:rPr>
                <w:sz w:val="20"/>
              </w:rPr>
            </w:pPr>
            <w:r>
              <w:rPr>
                <w:sz w:val="20"/>
              </w:rPr>
              <w:t>Bingo – Walk-through Procedures and Testing Procedures once per year?</w:t>
            </w:r>
          </w:p>
        </w:tc>
        <w:tc>
          <w:tcPr>
            <w:tcW w:w="720" w:type="dxa"/>
            <w:gridSpan w:val="2"/>
          </w:tcPr>
          <w:p w14:paraId="04FAEAFC" w14:textId="77777777" w:rsidR="00387990" w:rsidRDefault="00387990">
            <w:pPr>
              <w:rPr>
                <w:sz w:val="20"/>
              </w:rPr>
            </w:pPr>
          </w:p>
        </w:tc>
        <w:tc>
          <w:tcPr>
            <w:tcW w:w="720" w:type="dxa"/>
            <w:gridSpan w:val="2"/>
          </w:tcPr>
          <w:p w14:paraId="291570DB" w14:textId="77777777" w:rsidR="00387990" w:rsidRDefault="00387990">
            <w:pPr>
              <w:rPr>
                <w:sz w:val="20"/>
              </w:rPr>
            </w:pPr>
          </w:p>
        </w:tc>
        <w:tc>
          <w:tcPr>
            <w:tcW w:w="720" w:type="dxa"/>
            <w:gridSpan w:val="2"/>
          </w:tcPr>
          <w:p w14:paraId="36975AF3" w14:textId="77777777" w:rsidR="00387990" w:rsidRDefault="00387990">
            <w:pPr>
              <w:rPr>
                <w:sz w:val="20"/>
              </w:rPr>
            </w:pPr>
          </w:p>
        </w:tc>
        <w:tc>
          <w:tcPr>
            <w:tcW w:w="2988" w:type="dxa"/>
            <w:gridSpan w:val="2"/>
          </w:tcPr>
          <w:p w14:paraId="6788EA80" w14:textId="77777777" w:rsidR="00387990" w:rsidRDefault="00387990">
            <w:pPr>
              <w:rPr>
                <w:sz w:val="20"/>
              </w:rPr>
            </w:pPr>
          </w:p>
        </w:tc>
      </w:tr>
      <w:tr w:rsidR="00387990" w14:paraId="06A1ECCA" w14:textId="77777777">
        <w:trPr>
          <w:gridBefore w:val="1"/>
          <w:wBefore w:w="7" w:type="dxa"/>
          <w:cantSplit/>
        </w:trPr>
        <w:tc>
          <w:tcPr>
            <w:tcW w:w="5868" w:type="dxa"/>
            <w:gridSpan w:val="2"/>
            <w:tcMar>
              <w:left w:w="115" w:type="dxa"/>
              <w:bottom w:w="144" w:type="dxa"/>
              <w:right w:w="115" w:type="dxa"/>
            </w:tcMar>
          </w:tcPr>
          <w:p w14:paraId="2FD1D361" w14:textId="77777777" w:rsidR="00387990" w:rsidRDefault="00387990">
            <w:pPr>
              <w:numPr>
                <w:ilvl w:val="1"/>
                <w:numId w:val="3"/>
              </w:numPr>
              <w:ind w:left="720" w:hanging="360"/>
              <w:rPr>
                <w:sz w:val="20"/>
              </w:rPr>
            </w:pPr>
            <w:r>
              <w:rPr>
                <w:sz w:val="20"/>
              </w:rPr>
              <w:t>Race &amp; Sports – Walk-through Procedures and Testing Procedures once per year?</w:t>
            </w:r>
          </w:p>
        </w:tc>
        <w:tc>
          <w:tcPr>
            <w:tcW w:w="720" w:type="dxa"/>
            <w:gridSpan w:val="2"/>
          </w:tcPr>
          <w:p w14:paraId="1FA6EAC2" w14:textId="77777777" w:rsidR="00387990" w:rsidRDefault="00387990">
            <w:pPr>
              <w:rPr>
                <w:sz w:val="20"/>
              </w:rPr>
            </w:pPr>
          </w:p>
        </w:tc>
        <w:tc>
          <w:tcPr>
            <w:tcW w:w="720" w:type="dxa"/>
            <w:gridSpan w:val="2"/>
          </w:tcPr>
          <w:p w14:paraId="6188E8FE" w14:textId="77777777" w:rsidR="00387990" w:rsidRDefault="00387990">
            <w:pPr>
              <w:rPr>
                <w:sz w:val="20"/>
              </w:rPr>
            </w:pPr>
          </w:p>
        </w:tc>
        <w:tc>
          <w:tcPr>
            <w:tcW w:w="720" w:type="dxa"/>
            <w:gridSpan w:val="2"/>
          </w:tcPr>
          <w:p w14:paraId="5C5F5447" w14:textId="77777777" w:rsidR="00387990" w:rsidRDefault="00387990">
            <w:pPr>
              <w:rPr>
                <w:sz w:val="20"/>
              </w:rPr>
            </w:pPr>
          </w:p>
        </w:tc>
        <w:tc>
          <w:tcPr>
            <w:tcW w:w="2988" w:type="dxa"/>
            <w:gridSpan w:val="2"/>
          </w:tcPr>
          <w:p w14:paraId="5031193C" w14:textId="77777777" w:rsidR="00387990" w:rsidRDefault="00387990">
            <w:pPr>
              <w:rPr>
                <w:sz w:val="20"/>
              </w:rPr>
            </w:pPr>
          </w:p>
        </w:tc>
      </w:tr>
      <w:tr w:rsidR="00387990" w14:paraId="2CC01479" w14:textId="77777777">
        <w:trPr>
          <w:gridBefore w:val="1"/>
          <w:wBefore w:w="7" w:type="dxa"/>
          <w:cantSplit/>
        </w:trPr>
        <w:tc>
          <w:tcPr>
            <w:tcW w:w="5868" w:type="dxa"/>
            <w:gridSpan w:val="2"/>
            <w:tcMar>
              <w:left w:w="115" w:type="dxa"/>
              <w:bottom w:w="144" w:type="dxa"/>
              <w:right w:w="115" w:type="dxa"/>
            </w:tcMar>
          </w:tcPr>
          <w:p w14:paraId="0D05BAA2" w14:textId="77777777" w:rsidR="00387990" w:rsidRDefault="00387990">
            <w:pPr>
              <w:numPr>
                <w:ilvl w:val="1"/>
                <w:numId w:val="3"/>
              </w:numPr>
              <w:ind w:left="720" w:hanging="360"/>
              <w:rPr>
                <w:sz w:val="20"/>
              </w:rPr>
            </w:pPr>
            <w:r>
              <w:rPr>
                <w:sz w:val="20"/>
              </w:rPr>
              <w:t>Pari-Mutuel – Walk-through Procedures and Testing Procedures once per year?</w:t>
            </w:r>
          </w:p>
        </w:tc>
        <w:tc>
          <w:tcPr>
            <w:tcW w:w="720" w:type="dxa"/>
            <w:gridSpan w:val="2"/>
          </w:tcPr>
          <w:p w14:paraId="2FD583A3" w14:textId="77777777" w:rsidR="00387990" w:rsidRDefault="00387990">
            <w:pPr>
              <w:rPr>
                <w:sz w:val="20"/>
              </w:rPr>
            </w:pPr>
          </w:p>
        </w:tc>
        <w:tc>
          <w:tcPr>
            <w:tcW w:w="720" w:type="dxa"/>
            <w:gridSpan w:val="2"/>
          </w:tcPr>
          <w:p w14:paraId="2D27D331" w14:textId="77777777" w:rsidR="00387990" w:rsidRDefault="00387990">
            <w:pPr>
              <w:rPr>
                <w:sz w:val="20"/>
              </w:rPr>
            </w:pPr>
          </w:p>
        </w:tc>
        <w:tc>
          <w:tcPr>
            <w:tcW w:w="720" w:type="dxa"/>
            <w:gridSpan w:val="2"/>
          </w:tcPr>
          <w:p w14:paraId="6BDDC382" w14:textId="77777777" w:rsidR="00387990" w:rsidRDefault="00387990">
            <w:pPr>
              <w:rPr>
                <w:sz w:val="20"/>
              </w:rPr>
            </w:pPr>
          </w:p>
        </w:tc>
        <w:tc>
          <w:tcPr>
            <w:tcW w:w="2988" w:type="dxa"/>
            <w:gridSpan w:val="2"/>
          </w:tcPr>
          <w:p w14:paraId="35A241B9" w14:textId="77777777" w:rsidR="00387990" w:rsidRDefault="00387990">
            <w:pPr>
              <w:rPr>
                <w:sz w:val="20"/>
              </w:rPr>
            </w:pPr>
          </w:p>
        </w:tc>
      </w:tr>
      <w:tr w:rsidR="00387990" w14:paraId="5E14C65E" w14:textId="79B7B071">
        <w:trPr>
          <w:gridBefore w:val="1"/>
          <w:wBefore w:w="7" w:type="dxa"/>
          <w:cantSplit/>
        </w:trPr>
        <w:tc>
          <w:tcPr>
            <w:tcW w:w="5868" w:type="dxa"/>
            <w:gridSpan w:val="2"/>
            <w:tcMar>
              <w:left w:w="115" w:type="dxa"/>
              <w:bottom w:w="144" w:type="dxa"/>
              <w:right w:w="115" w:type="dxa"/>
            </w:tcMar>
          </w:tcPr>
          <w:p w14:paraId="47A84137" w14:textId="64DD31B1" w:rsidR="00340BC7" w:rsidRPr="005A336A" w:rsidRDefault="00387990" w:rsidP="00866F54">
            <w:pPr>
              <w:numPr>
                <w:ilvl w:val="1"/>
                <w:numId w:val="3"/>
              </w:numPr>
              <w:ind w:left="720" w:hanging="360"/>
              <w:rPr>
                <w:sz w:val="20"/>
              </w:rPr>
            </w:pPr>
            <w:r>
              <w:rPr>
                <w:sz w:val="20"/>
              </w:rPr>
              <w:t>Entertainment – Walk-through Procedures once per year?</w:t>
            </w:r>
            <w:r w:rsidR="008D2AEA" w:rsidRPr="005A336A">
              <w:rPr>
                <w:sz w:val="20"/>
              </w:rPr>
              <w:t xml:space="preserve"> </w:t>
            </w:r>
            <w:r w:rsidR="0084687F">
              <w:rPr>
                <w:sz w:val="20"/>
              </w:rPr>
              <w:t xml:space="preserve">  </w:t>
            </w:r>
          </w:p>
        </w:tc>
        <w:tc>
          <w:tcPr>
            <w:tcW w:w="720" w:type="dxa"/>
            <w:gridSpan w:val="2"/>
          </w:tcPr>
          <w:p w14:paraId="1CDAC4B5" w14:textId="18E386CD" w:rsidR="00387990" w:rsidRDefault="00387990">
            <w:pPr>
              <w:rPr>
                <w:sz w:val="20"/>
              </w:rPr>
            </w:pPr>
          </w:p>
        </w:tc>
        <w:tc>
          <w:tcPr>
            <w:tcW w:w="720" w:type="dxa"/>
            <w:gridSpan w:val="2"/>
          </w:tcPr>
          <w:p w14:paraId="0FB9128C" w14:textId="6BB71E11" w:rsidR="00387990" w:rsidRDefault="00387990">
            <w:pPr>
              <w:rPr>
                <w:sz w:val="20"/>
              </w:rPr>
            </w:pPr>
          </w:p>
        </w:tc>
        <w:tc>
          <w:tcPr>
            <w:tcW w:w="720" w:type="dxa"/>
            <w:gridSpan w:val="2"/>
          </w:tcPr>
          <w:p w14:paraId="4A094094" w14:textId="6B0969D5" w:rsidR="00387990" w:rsidRDefault="00387990">
            <w:pPr>
              <w:rPr>
                <w:sz w:val="20"/>
              </w:rPr>
            </w:pPr>
          </w:p>
        </w:tc>
        <w:tc>
          <w:tcPr>
            <w:tcW w:w="2988" w:type="dxa"/>
            <w:gridSpan w:val="2"/>
          </w:tcPr>
          <w:p w14:paraId="5FFF3EB0" w14:textId="632E13BA" w:rsidR="00387990" w:rsidRDefault="00387990">
            <w:pPr>
              <w:rPr>
                <w:sz w:val="20"/>
              </w:rPr>
            </w:pPr>
          </w:p>
        </w:tc>
      </w:tr>
      <w:tr w:rsidR="00387990" w14:paraId="3D308046" w14:textId="77777777" w:rsidTr="00002FF2">
        <w:trPr>
          <w:gridBefore w:val="1"/>
          <w:wBefore w:w="7" w:type="dxa"/>
          <w:cantSplit/>
        </w:trPr>
        <w:tc>
          <w:tcPr>
            <w:tcW w:w="5868" w:type="dxa"/>
            <w:gridSpan w:val="2"/>
            <w:tcBorders>
              <w:bottom w:val="single" w:sz="4" w:space="0" w:color="auto"/>
            </w:tcBorders>
            <w:tcMar>
              <w:left w:w="115" w:type="dxa"/>
              <w:bottom w:w="144" w:type="dxa"/>
              <w:right w:w="115" w:type="dxa"/>
            </w:tcMar>
          </w:tcPr>
          <w:p w14:paraId="5E0AFB95" w14:textId="77777777" w:rsidR="00387990" w:rsidRPr="000A3ADD" w:rsidRDefault="00387990">
            <w:pPr>
              <w:numPr>
                <w:ilvl w:val="1"/>
                <w:numId w:val="3"/>
              </w:numPr>
              <w:ind w:left="720" w:hanging="360"/>
              <w:rPr>
                <w:sz w:val="20"/>
              </w:rPr>
            </w:pPr>
            <w:r w:rsidRPr="000A3ADD">
              <w:rPr>
                <w:sz w:val="20"/>
              </w:rPr>
              <w:t>Cage &amp; Credit – Walk-through Procedures and Testing Procedures once per year?</w:t>
            </w:r>
          </w:p>
        </w:tc>
        <w:tc>
          <w:tcPr>
            <w:tcW w:w="720" w:type="dxa"/>
            <w:gridSpan w:val="2"/>
          </w:tcPr>
          <w:p w14:paraId="6662717F" w14:textId="77777777" w:rsidR="00387990" w:rsidRDefault="00387990">
            <w:pPr>
              <w:rPr>
                <w:sz w:val="20"/>
              </w:rPr>
            </w:pPr>
          </w:p>
        </w:tc>
        <w:tc>
          <w:tcPr>
            <w:tcW w:w="720" w:type="dxa"/>
            <w:gridSpan w:val="2"/>
          </w:tcPr>
          <w:p w14:paraId="69A90454" w14:textId="77777777" w:rsidR="00387990" w:rsidRDefault="00387990">
            <w:pPr>
              <w:rPr>
                <w:sz w:val="20"/>
              </w:rPr>
            </w:pPr>
          </w:p>
        </w:tc>
        <w:tc>
          <w:tcPr>
            <w:tcW w:w="720" w:type="dxa"/>
            <w:gridSpan w:val="2"/>
          </w:tcPr>
          <w:p w14:paraId="1417F9A3" w14:textId="77777777" w:rsidR="00387990" w:rsidRDefault="00387990">
            <w:pPr>
              <w:rPr>
                <w:sz w:val="20"/>
              </w:rPr>
            </w:pPr>
          </w:p>
        </w:tc>
        <w:tc>
          <w:tcPr>
            <w:tcW w:w="2988" w:type="dxa"/>
            <w:gridSpan w:val="2"/>
          </w:tcPr>
          <w:p w14:paraId="76D0A400" w14:textId="77777777" w:rsidR="00387990" w:rsidRDefault="00387990">
            <w:pPr>
              <w:rPr>
                <w:sz w:val="20"/>
              </w:rPr>
            </w:pPr>
          </w:p>
        </w:tc>
      </w:tr>
      <w:tr w:rsidR="006C5DFC" w14:paraId="71D65B24" w14:textId="77777777" w:rsidTr="001E1B3F">
        <w:trPr>
          <w:gridBefore w:val="1"/>
          <w:wBefore w:w="7" w:type="dxa"/>
          <w:cantSplit/>
        </w:trPr>
        <w:tc>
          <w:tcPr>
            <w:tcW w:w="5868" w:type="dxa"/>
            <w:gridSpan w:val="2"/>
            <w:shd w:val="clear" w:color="auto" w:fill="auto"/>
            <w:tcMar>
              <w:left w:w="115" w:type="dxa"/>
              <w:bottom w:w="144" w:type="dxa"/>
              <w:right w:w="115" w:type="dxa"/>
            </w:tcMar>
          </w:tcPr>
          <w:p w14:paraId="08B5C30B" w14:textId="77777777" w:rsidR="006C5DFC" w:rsidRPr="000A3ADD" w:rsidRDefault="006E13F2" w:rsidP="006C5DFC">
            <w:pPr>
              <w:numPr>
                <w:ilvl w:val="1"/>
                <w:numId w:val="3"/>
              </w:numPr>
              <w:ind w:left="720" w:hanging="360"/>
              <w:rPr>
                <w:sz w:val="20"/>
              </w:rPr>
            </w:pPr>
            <w:r>
              <w:rPr>
                <w:sz w:val="20"/>
              </w:rPr>
              <w:t xml:space="preserve">Interactive Gaming – </w:t>
            </w:r>
            <w:r w:rsidR="006C5DFC" w:rsidRPr="000A3ADD">
              <w:rPr>
                <w:sz w:val="20"/>
              </w:rPr>
              <w:t>Walk-through Procedures and Testing Procedures once per year?</w:t>
            </w:r>
          </w:p>
        </w:tc>
        <w:tc>
          <w:tcPr>
            <w:tcW w:w="720" w:type="dxa"/>
            <w:gridSpan w:val="2"/>
          </w:tcPr>
          <w:p w14:paraId="400826A8" w14:textId="77777777" w:rsidR="006C5DFC" w:rsidRDefault="006C5DFC">
            <w:pPr>
              <w:rPr>
                <w:sz w:val="20"/>
              </w:rPr>
            </w:pPr>
          </w:p>
        </w:tc>
        <w:tc>
          <w:tcPr>
            <w:tcW w:w="720" w:type="dxa"/>
            <w:gridSpan w:val="2"/>
          </w:tcPr>
          <w:p w14:paraId="13BFD493" w14:textId="77777777" w:rsidR="006C5DFC" w:rsidRDefault="006C5DFC">
            <w:pPr>
              <w:rPr>
                <w:sz w:val="20"/>
              </w:rPr>
            </w:pPr>
          </w:p>
        </w:tc>
        <w:tc>
          <w:tcPr>
            <w:tcW w:w="720" w:type="dxa"/>
            <w:gridSpan w:val="2"/>
          </w:tcPr>
          <w:p w14:paraId="414AC133" w14:textId="77777777" w:rsidR="006C5DFC" w:rsidRDefault="006C5DFC">
            <w:pPr>
              <w:rPr>
                <w:sz w:val="20"/>
              </w:rPr>
            </w:pPr>
          </w:p>
        </w:tc>
        <w:tc>
          <w:tcPr>
            <w:tcW w:w="2988" w:type="dxa"/>
            <w:gridSpan w:val="2"/>
          </w:tcPr>
          <w:p w14:paraId="6BE2AB66" w14:textId="77777777" w:rsidR="006C5DFC" w:rsidRDefault="006C5DFC">
            <w:pPr>
              <w:rPr>
                <w:sz w:val="20"/>
              </w:rPr>
            </w:pPr>
          </w:p>
        </w:tc>
      </w:tr>
      <w:tr w:rsidR="006E13F2" w14:paraId="24345308" w14:textId="77777777" w:rsidTr="001E1B3F">
        <w:trPr>
          <w:gridBefore w:val="1"/>
          <w:wBefore w:w="7" w:type="dxa"/>
          <w:cantSplit/>
        </w:trPr>
        <w:tc>
          <w:tcPr>
            <w:tcW w:w="5868" w:type="dxa"/>
            <w:gridSpan w:val="2"/>
            <w:shd w:val="clear" w:color="auto" w:fill="auto"/>
            <w:tcMar>
              <w:left w:w="115" w:type="dxa"/>
              <w:bottom w:w="144" w:type="dxa"/>
              <w:right w:w="115" w:type="dxa"/>
            </w:tcMar>
          </w:tcPr>
          <w:p w14:paraId="47737448" w14:textId="77777777" w:rsidR="006E13F2" w:rsidRDefault="006E13F2" w:rsidP="006C5DFC">
            <w:pPr>
              <w:numPr>
                <w:ilvl w:val="1"/>
                <w:numId w:val="3"/>
              </w:numPr>
              <w:ind w:left="720" w:hanging="360"/>
              <w:rPr>
                <w:sz w:val="20"/>
              </w:rPr>
            </w:pPr>
            <w:r>
              <w:rPr>
                <w:sz w:val="20"/>
              </w:rPr>
              <w:t>Information Technology for Interactive Gaming – Walk-Through Procedures and Testing Procedures once per year?</w:t>
            </w:r>
          </w:p>
        </w:tc>
        <w:tc>
          <w:tcPr>
            <w:tcW w:w="720" w:type="dxa"/>
            <w:gridSpan w:val="2"/>
          </w:tcPr>
          <w:p w14:paraId="3340BFE7" w14:textId="77777777" w:rsidR="006E13F2" w:rsidRDefault="006E13F2">
            <w:pPr>
              <w:rPr>
                <w:sz w:val="20"/>
              </w:rPr>
            </w:pPr>
          </w:p>
        </w:tc>
        <w:tc>
          <w:tcPr>
            <w:tcW w:w="720" w:type="dxa"/>
            <w:gridSpan w:val="2"/>
          </w:tcPr>
          <w:p w14:paraId="560EE146" w14:textId="77777777" w:rsidR="006E13F2" w:rsidRDefault="006E13F2">
            <w:pPr>
              <w:rPr>
                <w:sz w:val="20"/>
              </w:rPr>
            </w:pPr>
          </w:p>
        </w:tc>
        <w:tc>
          <w:tcPr>
            <w:tcW w:w="720" w:type="dxa"/>
            <w:gridSpan w:val="2"/>
          </w:tcPr>
          <w:p w14:paraId="13E52AE6" w14:textId="77777777" w:rsidR="006E13F2" w:rsidRDefault="006E13F2">
            <w:pPr>
              <w:rPr>
                <w:sz w:val="20"/>
              </w:rPr>
            </w:pPr>
          </w:p>
        </w:tc>
        <w:tc>
          <w:tcPr>
            <w:tcW w:w="2988" w:type="dxa"/>
            <w:gridSpan w:val="2"/>
          </w:tcPr>
          <w:p w14:paraId="59AB85AE" w14:textId="77777777" w:rsidR="006E13F2" w:rsidRDefault="006E13F2">
            <w:pPr>
              <w:rPr>
                <w:sz w:val="20"/>
              </w:rPr>
            </w:pPr>
          </w:p>
        </w:tc>
      </w:tr>
      <w:tr w:rsidR="00387990" w14:paraId="5ECAD2E9" w14:textId="77777777">
        <w:trPr>
          <w:gridBefore w:val="1"/>
          <w:wBefore w:w="7" w:type="dxa"/>
          <w:cantSplit/>
        </w:trPr>
        <w:tc>
          <w:tcPr>
            <w:tcW w:w="5868" w:type="dxa"/>
            <w:gridSpan w:val="2"/>
            <w:tcMar>
              <w:left w:w="115" w:type="dxa"/>
              <w:bottom w:w="144" w:type="dxa"/>
              <w:right w:w="115" w:type="dxa"/>
            </w:tcMar>
          </w:tcPr>
          <w:p w14:paraId="06622630" w14:textId="77777777" w:rsidR="00387990" w:rsidRDefault="00387990">
            <w:pPr>
              <w:numPr>
                <w:ilvl w:val="1"/>
                <w:numId w:val="3"/>
              </w:numPr>
              <w:ind w:left="720" w:hanging="360"/>
              <w:rPr>
                <w:sz w:val="20"/>
              </w:rPr>
            </w:pPr>
            <w:r>
              <w:rPr>
                <w:sz w:val="20"/>
              </w:rPr>
              <w:t>Information Technology – Walk-through Procedures and Testing Procedures once per year?</w:t>
            </w:r>
          </w:p>
        </w:tc>
        <w:tc>
          <w:tcPr>
            <w:tcW w:w="720" w:type="dxa"/>
            <w:gridSpan w:val="2"/>
          </w:tcPr>
          <w:p w14:paraId="7E5FAF77" w14:textId="77777777" w:rsidR="00387990" w:rsidRDefault="00387990">
            <w:pPr>
              <w:rPr>
                <w:sz w:val="20"/>
              </w:rPr>
            </w:pPr>
          </w:p>
        </w:tc>
        <w:tc>
          <w:tcPr>
            <w:tcW w:w="720" w:type="dxa"/>
            <w:gridSpan w:val="2"/>
          </w:tcPr>
          <w:p w14:paraId="37DB52A1" w14:textId="77777777" w:rsidR="00387990" w:rsidRDefault="00387990">
            <w:pPr>
              <w:rPr>
                <w:sz w:val="20"/>
              </w:rPr>
            </w:pPr>
          </w:p>
        </w:tc>
        <w:tc>
          <w:tcPr>
            <w:tcW w:w="720" w:type="dxa"/>
            <w:gridSpan w:val="2"/>
          </w:tcPr>
          <w:p w14:paraId="73FDC1A1" w14:textId="77777777" w:rsidR="00387990" w:rsidRDefault="00387990">
            <w:pPr>
              <w:rPr>
                <w:sz w:val="20"/>
              </w:rPr>
            </w:pPr>
          </w:p>
        </w:tc>
        <w:tc>
          <w:tcPr>
            <w:tcW w:w="2988" w:type="dxa"/>
            <w:gridSpan w:val="2"/>
          </w:tcPr>
          <w:p w14:paraId="68FA20D7" w14:textId="77777777" w:rsidR="00387990" w:rsidRDefault="00387990">
            <w:pPr>
              <w:rPr>
                <w:sz w:val="20"/>
              </w:rPr>
            </w:pPr>
          </w:p>
        </w:tc>
      </w:tr>
      <w:tr w:rsidR="00387990" w14:paraId="74974CD6" w14:textId="77777777">
        <w:trPr>
          <w:gridBefore w:val="1"/>
          <w:wBefore w:w="7" w:type="dxa"/>
          <w:cantSplit/>
        </w:trPr>
        <w:tc>
          <w:tcPr>
            <w:tcW w:w="5868" w:type="dxa"/>
            <w:gridSpan w:val="2"/>
            <w:tcMar>
              <w:left w:w="115" w:type="dxa"/>
              <w:bottom w:w="144" w:type="dxa"/>
              <w:right w:w="115" w:type="dxa"/>
            </w:tcMar>
          </w:tcPr>
          <w:p w14:paraId="260A29AF" w14:textId="77777777" w:rsidR="00387990" w:rsidRDefault="00387990">
            <w:pPr>
              <w:numPr>
                <w:ilvl w:val="1"/>
                <w:numId w:val="3"/>
              </w:numPr>
              <w:ind w:left="720" w:hanging="360"/>
              <w:rPr>
                <w:sz w:val="20"/>
              </w:rPr>
            </w:pPr>
            <w:r>
              <w:rPr>
                <w:sz w:val="20"/>
              </w:rPr>
              <w:t>Miscellaneous Regulations – Walk-through Procedures and Testing Procedures once per year?</w:t>
            </w:r>
          </w:p>
        </w:tc>
        <w:tc>
          <w:tcPr>
            <w:tcW w:w="720" w:type="dxa"/>
            <w:gridSpan w:val="2"/>
          </w:tcPr>
          <w:p w14:paraId="6EEDEDC5" w14:textId="77777777" w:rsidR="00387990" w:rsidRDefault="00387990">
            <w:pPr>
              <w:rPr>
                <w:sz w:val="20"/>
              </w:rPr>
            </w:pPr>
          </w:p>
        </w:tc>
        <w:tc>
          <w:tcPr>
            <w:tcW w:w="720" w:type="dxa"/>
            <w:gridSpan w:val="2"/>
          </w:tcPr>
          <w:p w14:paraId="38C79E8B" w14:textId="77777777" w:rsidR="00387990" w:rsidRDefault="00387990">
            <w:pPr>
              <w:rPr>
                <w:sz w:val="20"/>
              </w:rPr>
            </w:pPr>
          </w:p>
        </w:tc>
        <w:tc>
          <w:tcPr>
            <w:tcW w:w="720" w:type="dxa"/>
            <w:gridSpan w:val="2"/>
          </w:tcPr>
          <w:p w14:paraId="5D1A1DA0" w14:textId="77777777" w:rsidR="00387990" w:rsidRDefault="00387990">
            <w:pPr>
              <w:rPr>
                <w:sz w:val="20"/>
              </w:rPr>
            </w:pPr>
          </w:p>
        </w:tc>
        <w:tc>
          <w:tcPr>
            <w:tcW w:w="2988" w:type="dxa"/>
            <w:gridSpan w:val="2"/>
          </w:tcPr>
          <w:p w14:paraId="4DEF68E1" w14:textId="77777777" w:rsidR="00387990" w:rsidRDefault="00387990">
            <w:pPr>
              <w:rPr>
                <w:sz w:val="20"/>
              </w:rPr>
            </w:pPr>
          </w:p>
        </w:tc>
      </w:tr>
      <w:tr w:rsidR="00387990" w14:paraId="48D17D63" w14:textId="77777777">
        <w:trPr>
          <w:gridBefore w:val="1"/>
          <w:wBefore w:w="7" w:type="dxa"/>
          <w:cantSplit/>
        </w:trPr>
        <w:tc>
          <w:tcPr>
            <w:tcW w:w="5868" w:type="dxa"/>
            <w:gridSpan w:val="2"/>
            <w:tcMar>
              <w:left w:w="115" w:type="dxa"/>
              <w:bottom w:w="144" w:type="dxa"/>
              <w:right w:w="115" w:type="dxa"/>
            </w:tcMar>
          </w:tcPr>
          <w:p w14:paraId="6B6BAA6C" w14:textId="77777777" w:rsidR="00387990" w:rsidRDefault="00387990">
            <w:pPr>
              <w:numPr>
                <w:ilvl w:val="1"/>
                <w:numId w:val="3"/>
              </w:numPr>
              <w:ind w:left="720" w:hanging="360"/>
              <w:rPr>
                <w:sz w:val="20"/>
              </w:rPr>
            </w:pPr>
            <w:r>
              <w:rPr>
                <w:sz w:val="20"/>
              </w:rPr>
              <w:t>Branch Office</w:t>
            </w:r>
            <w:r w:rsidR="0031013A" w:rsidRPr="005A336A">
              <w:rPr>
                <w:sz w:val="20"/>
              </w:rPr>
              <w:t>s</w:t>
            </w:r>
            <w:r>
              <w:rPr>
                <w:sz w:val="20"/>
              </w:rPr>
              <w:t xml:space="preserve"> – Walk-through Procedures and Testing Procedures once every other year?</w:t>
            </w:r>
          </w:p>
        </w:tc>
        <w:tc>
          <w:tcPr>
            <w:tcW w:w="720" w:type="dxa"/>
            <w:gridSpan w:val="2"/>
            <w:tcBorders>
              <w:bottom w:val="single" w:sz="4" w:space="0" w:color="auto"/>
            </w:tcBorders>
          </w:tcPr>
          <w:p w14:paraId="1C75D4AB" w14:textId="77777777" w:rsidR="00387990" w:rsidRDefault="00387990">
            <w:pPr>
              <w:rPr>
                <w:sz w:val="20"/>
              </w:rPr>
            </w:pPr>
          </w:p>
        </w:tc>
        <w:tc>
          <w:tcPr>
            <w:tcW w:w="720" w:type="dxa"/>
            <w:gridSpan w:val="2"/>
            <w:tcBorders>
              <w:bottom w:val="single" w:sz="4" w:space="0" w:color="auto"/>
            </w:tcBorders>
          </w:tcPr>
          <w:p w14:paraId="6F6C5918" w14:textId="77777777" w:rsidR="00387990" w:rsidRDefault="00387990">
            <w:pPr>
              <w:rPr>
                <w:sz w:val="20"/>
              </w:rPr>
            </w:pPr>
          </w:p>
        </w:tc>
        <w:tc>
          <w:tcPr>
            <w:tcW w:w="720" w:type="dxa"/>
            <w:gridSpan w:val="2"/>
            <w:tcBorders>
              <w:bottom w:val="single" w:sz="4" w:space="0" w:color="auto"/>
            </w:tcBorders>
          </w:tcPr>
          <w:p w14:paraId="2AA2D7AB" w14:textId="77777777" w:rsidR="00387990" w:rsidRDefault="00387990">
            <w:pPr>
              <w:rPr>
                <w:sz w:val="20"/>
              </w:rPr>
            </w:pPr>
          </w:p>
        </w:tc>
        <w:tc>
          <w:tcPr>
            <w:tcW w:w="2988" w:type="dxa"/>
            <w:gridSpan w:val="2"/>
            <w:tcBorders>
              <w:bottom w:val="single" w:sz="4" w:space="0" w:color="auto"/>
            </w:tcBorders>
          </w:tcPr>
          <w:p w14:paraId="44388EF7" w14:textId="77777777" w:rsidR="00387990" w:rsidRDefault="00387990">
            <w:pPr>
              <w:rPr>
                <w:sz w:val="20"/>
              </w:rPr>
            </w:pPr>
          </w:p>
        </w:tc>
      </w:tr>
      <w:tr w:rsidR="00387990" w14:paraId="54A645BC" w14:textId="77777777">
        <w:trPr>
          <w:gridBefore w:val="1"/>
          <w:wBefore w:w="7" w:type="dxa"/>
          <w:cantSplit/>
        </w:trPr>
        <w:tc>
          <w:tcPr>
            <w:tcW w:w="5868" w:type="dxa"/>
            <w:gridSpan w:val="2"/>
            <w:tcMar>
              <w:left w:w="115" w:type="dxa"/>
              <w:bottom w:w="144" w:type="dxa"/>
              <w:right w:w="115" w:type="dxa"/>
            </w:tcMar>
          </w:tcPr>
          <w:p w14:paraId="27C408C5" w14:textId="77777777" w:rsidR="00387990" w:rsidRDefault="00387990">
            <w:pPr>
              <w:numPr>
                <w:ilvl w:val="2"/>
                <w:numId w:val="3"/>
              </w:numPr>
              <w:ind w:left="1073" w:hanging="360"/>
              <w:rPr>
                <w:sz w:val="20"/>
              </w:rPr>
            </w:pPr>
            <w:r>
              <w:rPr>
                <w:sz w:val="20"/>
              </w:rPr>
              <w:t>Does internal audit maintain a report indicating a list of the branch offices along with the total dollar amount of deposits and payments on credit instruments handled during the previous fiscal year for each branch office?</w:t>
            </w:r>
          </w:p>
        </w:tc>
        <w:tc>
          <w:tcPr>
            <w:tcW w:w="720" w:type="dxa"/>
            <w:gridSpan w:val="2"/>
          </w:tcPr>
          <w:p w14:paraId="2691442F" w14:textId="77777777" w:rsidR="00387990" w:rsidRDefault="00387990">
            <w:pPr>
              <w:ind w:left="360"/>
              <w:rPr>
                <w:sz w:val="20"/>
              </w:rPr>
            </w:pPr>
          </w:p>
        </w:tc>
        <w:tc>
          <w:tcPr>
            <w:tcW w:w="720" w:type="dxa"/>
            <w:gridSpan w:val="2"/>
          </w:tcPr>
          <w:p w14:paraId="2DF19804" w14:textId="77777777" w:rsidR="00387990" w:rsidRDefault="00387990">
            <w:pPr>
              <w:ind w:left="360"/>
              <w:rPr>
                <w:sz w:val="20"/>
              </w:rPr>
            </w:pPr>
          </w:p>
        </w:tc>
        <w:tc>
          <w:tcPr>
            <w:tcW w:w="720" w:type="dxa"/>
            <w:gridSpan w:val="2"/>
          </w:tcPr>
          <w:p w14:paraId="28619C3C" w14:textId="77777777" w:rsidR="00387990" w:rsidRDefault="00387990">
            <w:pPr>
              <w:ind w:left="360"/>
              <w:rPr>
                <w:sz w:val="20"/>
              </w:rPr>
            </w:pPr>
          </w:p>
        </w:tc>
        <w:tc>
          <w:tcPr>
            <w:tcW w:w="2988" w:type="dxa"/>
            <w:gridSpan w:val="2"/>
          </w:tcPr>
          <w:p w14:paraId="43B367EA" w14:textId="77777777" w:rsidR="00387990" w:rsidRDefault="00387990">
            <w:pPr>
              <w:ind w:left="360"/>
              <w:rPr>
                <w:sz w:val="20"/>
              </w:rPr>
            </w:pPr>
          </w:p>
        </w:tc>
      </w:tr>
      <w:tr w:rsidR="00387990" w14:paraId="2C81DB5E" w14:textId="77777777">
        <w:trPr>
          <w:gridBefore w:val="1"/>
          <w:wBefore w:w="7" w:type="dxa"/>
          <w:cantSplit/>
        </w:trPr>
        <w:tc>
          <w:tcPr>
            <w:tcW w:w="5868" w:type="dxa"/>
            <w:gridSpan w:val="2"/>
            <w:tcMar>
              <w:left w:w="115" w:type="dxa"/>
              <w:bottom w:w="144" w:type="dxa"/>
              <w:right w:w="115" w:type="dxa"/>
            </w:tcMar>
          </w:tcPr>
          <w:p w14:paraId="09CE3350" w14:textId="77777777" w:rsidR="00387990" w:rsidRDefault="00387990">
            <w:pPr>
              <w:numPr>
                <w:ilvl w:val="2"/>
                <w:numId w:val="3"/>
              </w:numPr>
              <w:ind w:left="1073" w:hanging="360"/>
              <w:rPr>
                <w:sz w:val="20"/>
              </w:rPr>
            </w:pPr>
            <w:r>
              <w:rPr>
                <w:sz w:val="20"/>
              </w:rPr>
              <w:t>For two of the branch offices, did internal audit reconcile the dollar amount of deposits and payments on credit instruments indicated in the branch office records to the amounts listed on the internal audit report for branch offices?</w:t>
            </w:r>
          </w:p>
          <w:p w14:paraId="46933AC3" w14:textId="77777777" w:rsidR="00387990" w:rsidRDefault="00387990">
            <w:pPr>
              <w:ind w:left="713"/>
              <w:rPr>
                <w:sz w:val="20"/>
              </w:rPr>
            </w:pPr>
          </w:p>
          <w:p w14:paraId="1942153F" w14:textId="77777777" w:rsidR="00387990" w:rsidRDefault="00387990">
            <w:pPr>
              <w:ind w:left="1073"/>
              <w:rPr>
                <w:b/>
                <w:bCs/>
                <w:sz w:val="20"/>
              </w:rPr>
            </w:pPr>
            <w:r>
              <w:rPr>
                <w:b/>
                <w:bCs/>
                <w:sz w:val="20"/>
              </w:rPr>
              <w:t xml:space="preserve">Note:  The CPA should reperform this procedure to verify that internal audit performed this reconciliation correctly.  </w:t>
            </w:r>
          </w:p>
        </w:tc>
        <w:tc>
          <w:tcPr>
            <w:tcW w:w="720" w:type="dxa"/>
            <w:gridSpan w:val="2"/>
          </w:tcPr>
          <w:p w14:paraId="1735D387" w14:textId="77777777" w:rsidR="00387990" w:rsidRDefault="00387990">
            <w:pPr>
              <w:rPr>
                <w:sz w:val="20"/>
              </w:rPr>
            </w:pPr>
          </w:p>
        </w:tc>
        <w:tc>
          <w:tcPr>
            <w:tcW w:w="720" w:type="dxa"/>
            <w:gridSpan w:val="2"/>
          </w:tcPr>
          <w:p w14:paraId="07009A05" w14:textId="77777777" w:rsidR="00387990" w:rsidRDefault="00387990">
            <w:pPr>
              <w:rPr>
                <w:sz w:val="20"/>
              </w:rPr>
            </w:pPr>
          </w:p>
        </w:tc>
        <w:tc>
          <w:tcPr>
            <w:tcW w:w="720" w:type="dxa"/>
            <w:gridSpan w:val="2"/>
          </w:tcPr>
          <w:p w14:paraId="3D21593B" w14:textId="77777777" w:rsidR="00387990" w:rsidRDefault="00387990">
            <w:pPr>
              <w:rPr>
                <w:sz w:val="20"/>
              </w:rPr>
            </w:pPr>
          </w:p>
        </w:tc>
        <w:tc>
          <w:tcPr>
            <w:tcW w:w="2988" w:type="dxa"/>
            <w:gridSpan w:val="2"/>
          </w:tcPr>
          <w:p w14:paraId="4368F4BD" w14:textId="77777777" w:rsidR="00387990" w:rsidRDefault="00387990">
            <w:pPr>
              <w:rPr>
                <w:sz w:val="20"/>
              </w:rPr>
            </w:pPr>
          </w:p>
        </w:tc>
      </w:tr>
      <w:tr w:rsidR="00387990" w14:paraId="07293B25" w14:textId="77777777">
        <w:trPr>
          <w:gridBefore w:val="1"/>
          <w:wBefore w:w="7" w:type="dxa"/>
          <w:cantSplit/>
        </w:trPr>
        <w:tc>
          <w:tcPr>
            <w:tcW w:w="5868" w:type="dxa"/>
            <w:gridSpan w:val="2"/>
            <w:tcMar>
              <w:left w:w="115" w:type="dxa"/>
              <w:bottom w:w="144" w:type="dxa"/>
              <w:right w:w="115" w:type="dxa"/>
            </w:tcMar>
          </w:tcPr>
          <w:p w14:paraId="0CC95D6C" w14:textId="77777777" w:rsidR="00387990" w:rsidRDefault="00387990">
            <w:pPr>
              <w:numPr>
                <w:ilvl w:val="2"/>
                <w:numId w:val="3"/>
              </w:numPr>
              <w:ind w:left="1073" w:hanging="360"/>
              <w:rPr>
                <w:sz w:val="20"/>
              </w:rPr>
            </w:pPr>
            <w:r>
              <w:rPr>
                <w:sz w:val="20"/>
              </w:rPr>
              <w:lastRenderedPageBreak/>
              <w:t xml:space="preserve">Did internal audit perform the required branch office visits for the branch offices meeting the defined parameter(s)?  </w:t>
            </w:r>
            <w:r>
              <w:rPr>
                <w:b/>
                <w:bCs/>
                <w:sz w:val="20"/>
              </w:rPr>
              <w:t>Indicate the internal audit branch office visits and dates performed.</w:t>
            </w:r>
          </w:p>
        </w:tc>
        <w:tc>
          <w:tcPr>
            <w:tcW w:w="720" w:type="dxa"/>
            <w:gridSpan w:val="2"/>
          </w:tcPr>
          <w:p w14:paraId="2411BB86" w14:textId="77777777" w:rsidR="00387990" w:rsidRDefault="00387990">
            <w:pPr>
              <w:rPr>
                <w:sz w:val="20"/>
              </w:rPr>
            </w:pPr>
          </w:p>
        </w:tc>
        <w:tc>
          <w:tcPr>
            <w:tcW w:w="720" w:type="dxa"/>
            <w:gridSpan w:val="2"/>
          </w:tcPr>
          <w:p w14:paraId="5753BB80" w14:textId="77777777" w:rsidR="00387990" w:rsidRDefault="00387990">
            <w:pPr>
              <w:rPr>
                <w:sz w:val="20"/>
              </w:rPr>
            </w:pPr>
          </w:p>
        </w:tc>
        <w:tc>
          <w:tcPr>
            <w:tcW w:w="720" w:type="dxa"/>
            <w:gridSpan w:val="2"/>
          </w:tcPr>
          <w:p w14:paraId="424D03B4" w14:textId="77777777" w:rsidR="00387990" w:rsidRDefault="00387990">
            <w:pPr>
              <w:rPr>
                <w:sz w:val="20"/>
              </w:rPr>
            </w:pPr>
          </w:p>
        </w:tc>
        <w:tc>
          <w:tcPr>
            <w:tcW w:w="2988" w:type="dxa"/>
            <w:gridSpan w:val="2"/>
          </w:tcPr>
          <w:p w14:paraId="1F93E0F1" w14:textId="77777777" w:rsidR="00387990" w:rsidRDefault="00387990">
            <w:pPr>
              <w:rPr>
                <w:sz w:val="20"/>
              </w:rPr>
            </w:pPr>
          </w:p>
        </w:tc>
      </w:tr>
      <w:tr w:rsidR="00A801C4" w14:paraId="4B42D6C8" w14:textId="77777777">
        <w:trPr>
          <w:gridAfter w:val="1"/>
          <w:wAfter w:w="7" w:type="dxa"/>
          <w:cantSplit/>
        </w:trPr>
        <w:tc>
          <w:tcPr>
            <w:tcW w:w="5868" w:type="dxa"/>
            <w:gridSpan w:val="2"/>
            <w:tcMar>
              <w:left w:w="115" w:type="dxa"/>
              <w:bottom w:w="144" w:type="dxa"/>
              <w:right w:w="115" w:type="dxa"/>
            </w:tcMar>
          </w:tcPr>
          <w:p w14:paraId="53CEB9C1" w14:textId="77777777" w:rsidR="00A801C4" w:rsidRPr="005A336A" w:rsidRDefault="00031DFB" w:rsidP="00A801C4">
            <w:pPr>
              <w:numPr>
                <w:ilvl w:val="0"/>
                <w:numId w:val="3"/>
              </w:numPr>
              <w:rPr>
                <w:sz w:val="20"/>
              </w:rPr>
            </w:pPr>
            <w:r w:rsidRPr="005A336A">
              <w:rPr>
                <w:sz w:val="20"/>
              </w:rPr>
              <w:t xml:space="preserve">Has internal audit completed the proper CPA MICS Compliance Checklists for slots and </w:t>
            </w:r>
            <w:r w:rsidR="00DF10C5" w:rsidRPr="005A336A">
              <w:rPr>
                <w:sz w:val="20"/>
              </w:rPr>
              <w:t xml:space="preserve">for </w:t>
            </w:r>
            <w:r w:rsidRPr="005A336A">
              <w:rPr>
                <w:sz w:val="20"/>
              </w:rPr>
              <w:t>table games as follows:</w:t>
            </w:r>
          </w:p>
        </w:tc>
        <w:tc>
          <w:tcPr>
            <w:tcW w:w="720" w:type="dxa"/>
            <w:gridSpan w:val="2"/>
          </w:tcPr>
          <w:p w14:paraId="3CB90D9C" w14:textId="77777777" w:rsidR="00A801C4" w:rsidRDefault="00A801C4" w:rsidP="00DF10C5">
            <w:pPr>
              <w:rPr>
                <w:sz w:val="20"/>
              </w:rPr>
            </w:pPr>
          </w:p>
        </w:tc>
        <w:tc>
          <w:tcPr>
            <w:tcW w:w="720" w:type="dxa"/>
            <w:gridSpan w:val="2"/>
          </w:tcPr>
          <w:p w14:paraId="224BF41D" w14:textId="77777777" w:rsidR="00A801C4" w:rsidRDefault="00A801C4" w:rsidP="00DF10C5">
            <w:pPr>
              <w:rPr>
                <w:sz w:val="20"/>
              </w:rPr>
            </w:pPr>
          </w:p>
        </w:tc>
        <w:tc>
          <w:tcPr>
            <w:tcW w:w="720" w:type="dxa"/>
            <w:gridSpan w:val="2"/>
          </w:tcPr>
          <w:p w14:paraId="56E0B93A" w14:textId="77777777" w:rsidR="00A801C4" w:rsidRDefault="00A801C4" w:rsidP="00DF10C5">
            <w:pPr>
              <w:rPr>
                <w:sz w:val="20"/>
              </w:rPr>
            </w:pPr>
          </w:p>
        </w:tc>
        <w:tc>
          <w:tcPr>
            <w:tcW w:w="2988" w:type="dxa"/>
            <w:gridSpan w:val="2"/>
          </w:tcPr>
          <w:p w14:paraId="062EC4DC" w14:textId="77777777" w:rsidR="00A801C4" w:rsidRDefault="00A801C4" w:rsidP="00DF10C5">
            <w:pPr>
              <w:rPr>
                <w:sz w:val="20"/>
              </w:rPr>
            </w:pPr>
          </w:p>
        </w:tc>
      </w:tr>
      <w:tr w:rsidR="00031DFB" w14:paraId="56D2B134" w14:textId="77777777">
        <w:trPr>
          <w:gridAfter w:val="1"/>
          <w:wAfter w:w="7" w:type="dxa"/>
          <w:cantSplit/>
        </w:trPr>
        <w:tc>
          <w:tcPr>
            <w:tcW w:w="5868" w:type="dxa"/>
            <w:gridSpan w:val="2"/>
            <w:tcMar>
              <w:left w:w="115" w:type="dxa"/>
              <w:bottom w:w="144" w:type="dxa"/>
              <w:right w:w="115" w:type="dxa"/>
            </w:tcMar>
          </w:tcPr>
          <w:p w14:paraId="5E368C99" w14:textId="705487CD" w:rsidR="00031DFB" w:rsidRPr="005A336A" w:rsidRDefault="00031DFB" w:rsidP="00031DFB">
            <w:pPr>
              <w:numPr>
                <w:ilvl w:val="1"/>
                <w:numId w:val="3"/>
              </w:numPr>
              <w:ind w:left="720" w:hanging="360"/>
              <w:rPr>
                <w:sz w:val="20"/>
              </w:rPr>
            </w:pPr>
            <w:r w:rsidRPr="005A336A">
              <w:rPr>
                <w:sz w:val="20"/>
              </w:rPr>
              <w:t xml:space="preserve">Has a CPA MICS compliance checklist – All Procedures for slots and </w:t>
            </w:r>
            <w:r w:rsidR="00DF10C5" w:rsidRPr="005A336A">
              <w:rPr>
                <w:sz w:val="20"/>
              </w:rPr>
              <w:t xml:space="preserve">for </w:t>
            </w:r>
            <w:r w:rsidRPr="005A336A">
              <w:rPr>
                <w:sz w:val="20"/>
              </w:rPr>
              <w:t>table games been completed once during the fiscal year?</w:t>
            </w:r>
            <w:r w:rsidR="00DF10C5" w:rsidRPr="005A336A">
              <w:rPr>
                <w:sz w:val="20"/>
              </w:rPr>
              <w:t xml:space="preserve"> </w:t>
            </w:r>
            <w:r w:rsidR="00DF10C5" w:rsidRPr="005A336A">
              <w:rPr>
                <w:b/>
                <w:sz w:val="20"/>
              </w:rPr>
              <w:t>(</w:t>
            </w:r>
            <w:r w:rsidR="008A4915">
              <w:rPr>
                <w:b/>
                <w:sz w:val="20"/>
              </w:rPr>
              <w:t>4</w:t>
            </w:r>
            <w:r w:rsidR="00B425DB" w:rsidRPr="005A336A">
              <w:rPr>
                <w:b/>
                <w:sz w:val="20"/>
              </w:rPr>
              <w:t xml:space="preserve"> of 1</w:t>
            </w:r>
            <w:r w:rsidR="00850460">
              <w:rPr>
                <w:b/>
                <w:sz w:val="20"/>
              </w:rPr>
              <w:t>5</w:t>
            </w:r>
            <w:r w:rsidR="00DF10C5" w:rsidRPr="005A336A">
              <w:rPr>
                <w:b/>
                <w:sz w:val="20"/>
              </w:rPr>
              <w:t>)</w:t>
            </w:r>
          </w:p>
        </w:tc>
        <w:tc>
          <w:tcPr>
            <w:tcW w:w="720" w:type="dxa"/>
            <w:gridSpan w:val="2"/>
          </w:tcPr>
          <w:p w14:paraId="6DBCB088" w14:textId="77777777" w:rsidR="00031DFB" w:rsidRDefault="00031DFB" w:rsidP="00DF10C5">
            <w:pPr>
              <w:rPr>
                <w:sz w:val="20"/>
              </w:rPr>
            </w:pPr>
          </w:p>
        </w:tc>
        <w:tc>
          <w:tcPr>
            <w:tcW w:w="720" w:type="dxa"/>
            <w:gridSpan w:val="2"/>
          </w:tcPr>
          <w:p w14:paraId="7ACD4145" w14:textId="77777777" w:rsidR="00031DFB" w:rsidRDefault="00031DFB" w:rsidP="00DF10C5">
            <w:pPr>
              <w:rPr>
                <w:sz w:val="20"/>
              </w:rPr>
            </w:pPr>
          </w:p>
        </w:tc>
        <w:tc>
          <w:tcPr>
            <w:tcW w:w="720" w:type="dxa"/>
            <w:gridSpan w:val="2"/>
          </w:tcPr>
          <w:p w14:paraId="2F4DFB9D" w14:textId="77777777" w:rsidR="00031DFB" w:rsidRDefault="00031DFB" w:rsidP="00DF10C5">
            <w:pPr>
              <w:rPr>
                <w:sz w:val="20"/>
              </w:rPr>
            </w:pPr>
          </w:p>
        </w:tc>
        <w:tc>
          <w:tcPr>
            <w:tcW w:w="2988" w:type="dxa"/>
            <w:gridSpan w:val="2"/>
          </w:tcPr>
          <w:p w14:paraId="5DBA8023" w14:textId="77777777" w:rsidR="00031DFB" w:rsidRDefault="00031DFB" w:rsidP="00DF10C5">
            <w:pPr>
              <w:rPr>
                <w:sz w:val="20"/>
              </w:rPr>
            </w:pPr>
          </w:p>
        </w:tc>
      </w:tr>
      <w:tr w:rsidR="00DF10C5" w14:paraId="4308C8EB" w14:textId="77777777">
        <w:trPr>
          <w:gridAfter w:val="1"/>
          <w:wAfter w:w="7" w:type="dxa"/>
          <w:cantSplit/>
        </w:trPr>
        <w:tc>
          <w:tcPr>
            <w:tcW w:w="5868" w:type="dxa"/>
            <w:gridSpan w:val="2"/>
            <w:tcMar>
              <w:left w:w="115" w:type="dxa"/>
              <w:bottom w:w="144" w:type="dxa"/>
              <w:right w:w="115" w:type="dxa"/>
            </w:tcMar>
          </w:tcPr>
          <w:p w14:paraId="6BE506B5" w14:textId="472E5A87" w:rsidR="00DF10C5" w:rsidRPr="005A336A" w:rsidRDefault="00DF10C5" w:rsidP="00031DFB">
            <w:pPr>
              <w:numPr>
                <w:ilvl w:val="1"/>
                <w:numId w:val="3"/>
              </w:numPr>
              <w:ind w:left="720" w:hanging="360"/>
              <w:rPr>
                <w:sz w:val="20"/>
              </w:rPr>
            </w:pPr>
            <w:r w:rsidRPr="005A336A">
              <w:rPr>
                <w:sz w:val="20"/>
              </w:rPr>
              <w:t xml:space="preserve">Did the internal auditor not </w:t>
            </w:r>
            <w:r w:rsidR="0068190B" w:rsidRPr="005A336A">
              <w:rPr>
                <w:sz w:val="20"/>
              </w:rPr>
              <w:t>complete the CPA MICS compliance checklist – All Procedures for</w:t>
            </w:r>
            <w:r w:rsidRPr="005A336A">
              <w:rPr>
                <w:sz w:val="20"/>
              </w:rPr>
              <w:t xml:space="preserve"> slots and </w:t>
            </w:r>
            <w:r w:rsidR="0068190B" w:rsidRPr="005A336A">
              <w:rPr>
                <w:sz w:val="20"/>
              </w:rPr>
              <w:t xml:space="preserve">for table games </w:t>
            </w:r>
            <w:r w:rsidRPr="005A336A">
              <w:rPr>
                <w:sz w:val="20"/>
              </w:rPr>
              <w:t>in the same six-month period as the CPA?</w:t>
            </w:r>
            <w:r w:rsidR="00396DDA" w:rsidRPr="005A336A">
              <w:rPr>
                <w:sz w:val="20"/>
              </w:rPr>
              <w:t xml:space="preserve"> </w:t>
            </w:r>
            <w:r w:rsidR="00396DDA" w:rsidRPr="005A336A">
              <w:rPr>
                <w:b/>
                <w:sz w:val="20"/>
              </w:rPr>
              <w:t>(</w:t>
            </w:r>
            <w:r w:rsidR="006C40A1">
              <w:rPr>
                <w:b/>
                <w:sz w:val="20"/>
              </w:rPr>
              <w:t>4</w:t>
            </w:r>
            <w:r w:rsidR="00B425DB" w:rsidRPr="005A336A">
              <w:rPr>
                <w:b/>
                <w:sz w:val="20"/>
              </w:rPr>
              <w:t xml:space="preserve"> of 1</w:t>
            </w:r>
            <w:r w:rsidR="00850460">
              <w:rPr>
                <w:b/>
                <w:sz w:val="20"/>
              </w:rPr>
              <w:t>5</w:t>
            </w:r>
            <w:r w:rsidR="00396DDA" w:rsidRPr="005A336A">
              <w:rPr>
                <w:b/>
                <w:sz w:val="20"/>
              </w:rPr>
              <w:t>)</w:t>
            </w:r>
          </w:p>
          <w:p w14:paraId="4C3F4065" w14:textId="77777777" w:rsidR="00DF10C5" w:rsidRDefault="00DF10C5" w:rsidP="00DF10C5">
            <w:pPr>
              <w:rPr>
                <w:b/>
                <w:sz w:val="20"/>
                <w:u w:val="single"/>
              </w:rPr>
            </w:pPr>
          </w:p>
          <w:p w14:paraId="3196393C" w14:textId="20D39FD8" w:rsidR="00DF10C5" w:rsidRPr="005A336A" w:rsidRDefault="00DF10C5" w:rsidP="00DF10C5">
            <w:pPr>
              <w:ind w:left="720"/>
              <w:rPr>
                <w:sz w:val="20"/>
              </w:rPr>
            </w:pPr>
            <w:r w:rsidRPr="009224AF">
              <w:rPr>
                <w:b/>
                <w:sz w:val="20"/>
              </w:rPr>
              <w:t>Note:</w:t>
            </w:r>
            <w:r w:rsidRPr="005A336A">
              <w:rPr>
                <w:sz w:val="20"/>
              </w:rPr>
              <w:t xml:space="preserve">  This is applicable when the CPA does not utilize internal audit to substitute for CPA work.</w:t>
            </w:r>
            <w:r w:rsidR="00396DDA" w:rsidRPr="005A336A">
              <w:rPr>
                <w:sz w:val="20"/>
              </w:rPr>
              <w:t xml:space="preserve"> </w:t>
            </w:r>
            <w:r w:rsidR="00396DDA" w:rsidRPr="005A336A">
              <w:rPr>
                <w:b/>
                <w:sz w:val="20"/>
              </w:rPr>
              <w:t>(</w:t>
            </w:r>
            <w:r w:rsidR="006C40A1">
              <w:rPr>
                <w:b/>
                <w:sz w:val="20"/>
              </w:rPr>
              <w:t>4</w:t>
            </w:r>
            <w:r w:rsidR="00B425DB" w:rsidRPr="005A336A">
              <w:rPr>
                <w:b/>
                <w:sz w:val="20"/>
              </w:rPr>
              <w:t xml:space="preserve"> of 1</w:t>
            </w:r>
            <w:r w:rsidR="00850460">
              <w:rPr>
                <w:b/>
                <w:sz w:val="20"/>
              </w:rPr>
              <w:t>5</w:t>
            </w:r>
            <w:r w:rsidR="00396DDA" w:rsidRPr="005A336A">
              <w:rPr>
                <w:b/>
                <w:sz w:val="20"/>
              </w:rPr>
              <w:t>)</w:t>
            </w:r>
          </w:p>
        </w:tc>
        <w:tc>
          <w:tcPr>
            <w:tcW w:w="720" w:type="dxa"/>
            <w:gridSpan w:val="2"/>
          </w:tcPr>
          <w:p w14:paraId="6B1E84C4" w14:textId="77777777" w:rsidR="00DF10C5" w:rsidRDefault="00DF10C5" w:rsidP="00DF10C5">
            <w:pPr>
              <w:rPr>
                <w:sz w:val="20"/>
              </w:rPr>
            </w:pPr>
          </w:p>
        </w:tc>
        <w:tc>
          <w:tcPr>
            <w:tcW w:w="720" w:type="dxa"/>
            <w:gridSpan w:val="2"/>
          </w:tcPr>
          <w:p w14:paraId="0CD84878" w14:textId="77777777" w:rsidR="00DF10C5" w:rsidRDefault="00DF10C5" w:rsidP="00DF10C5">
            <w:pPr>
              <w:rPr>
                <w:sz w:val="20"/>
              </w:rPr>
            </w:pPr>
          </w:p>
        </w:tc>
        <w:tc>
          <w:tcPr>
            <w:tcW w:w="720" w:type="dxa"/>
            <w:gridSpan w:val="2"/>
          </w:tcPr>
          <w:p w14:paraId="6060E168" w14:textId="77777777" w:rsidR="00DF10C5" w:rsidRDefault="00DF10C5" w:rsidP="00DF10C5">
            <w:pPr>
              <w:rPr>
                <w:sz w:val="20"/>
              </w:rPr>
            </w:pPr>
          </w:p>
        </w:tc>
        <w:tc>
          <w:tcPr>
            <w:tcW w:w="2988" w:type="dxa"/>
            <w:gridSpan w:val="2"/>
          </w:tcPr>
          <w:p w14:paraId="7FB44D5C" w14:textId="77777777" w:rsidR="00DF10C5" w:rsidRDefault="00DF10C5" w:rsidP="00DF10C5">
            <w:pPr>
              <w:rPr>
                <w:sz w:val="20"/>
              </w:rPr>
            </w:pPr>
          </w:p>
        </w:tc>
      </w:tr>
      <w:tr w:rsidR="00DF10C5" w14:paraId="0C6BC3A5" w14:textId="77777777">
        <w:trPr>
          <w:gridAfter w:val="1"/>
          <w:wAfter w:w="7" w:type="dxa"/>
          <w:cantSplit/>
        </w:trPr>
        <w:tc>
          <w:tcPr>
            <w:tcW w:w="5868" w:type="dxa"/>
            <w:gridSpan w:val="2"/>
            <w:tcMar>
              <w:left w:w="115" w:type="dxa"/>
              <w:bottom w:w="144" w:type="dxa"/>
              <w:right w:w="115" w:type="dxa"/>
            </w:tcMar>
          </w:tcPr>
          <w:p w14:paraId="4310BB02" w14:textId="52B1AAC5" w:rsidR="00396DDA" w:rsidRPr="005A336A" w:rsidRDefault="00DF10C5" w:rsidP="00E36200">
            <w:pPr>
              <w:numPr>
                <w:ilvl w:val="1"/>
                <w:numId w:val="3"/>
              </w:numPr>
              <w:ind w:left="720" w:hanging="360"/>
              <w:rPr>
                <w:sz w:val="20"/>
              </w:rPr>
            </w:pPr>
            <w:r w:rsidRPr="005A336A">
              <w:rPr>
                <w:sz w:val="20"/>
              </w:rPr>
              <w:t xml:space="preserve">Has a CPA MICS compliance checklist – Limited Procedures for slots and for table games been </w:t>
            </w:r>
            <w:r w:rsidR="00842C4D">
              <w:rPr>
                <w:sz w:val="20"/>
              </w:rPr>
              <w:t>completed for</w:t>
            </w:r>
            <w:r w:rsidRPr="005A336A">
              <w:rPr>
                <w:sz w:val="20"/>
              </w:rPr>
              <w:t xml:space="preserve"> one six-month period during the fiscal year only when </w:t>
            </w:r>
            <w:r w:rsidR="00396DDA" w:rsidRPr="005A336A">
              <w:rPr>
                <w:sz w:val="20"/>
              </w:rPr>
              <w:t xml:space="preserve">the CPA utilizes internal audit to substitute for CPA work? </w:t>
            </w:r>
            <w:r w:rsidR="00396DDA" w:rsidRPr="005A336A">
              <w:rPr>
                <w:b/>
                <w:sz w:val="20"/>
              </w:rPr>
              <w:t>(</w:t>
            </w:r>
            <w:r w:rsidR="006C40A1">
              <w:rPr>
                <w:b/>
                <w:sz w:val="20"/>
              </w:rPr>
              <w:t>4</w:t>
            </w:r>
            <w:r w:rsidR="00E36200" w:rsidRPr="005A336A">
              <w:rPr>
                <w:b/>
                <w:sz w:val="20"/>
              </w:rPr>
              <w:t xml:space="preserve"> </w:t>
            </w:r>
            <w:r w:rsidR="00B425DB" w:rsidRPr="005A336A">
              <w:rPr>
                <w:b/>
                <w:sz w:val="20"/>
              </w:rPr>
              <w:t>of 1</w:t>
            </w:r>
            <w:r w:rsidR="00850460">
              <w:rPr>
                <w:b/>
                <w:sz w:val="20"/>
              </w:rPr>
              <w:t>5</w:t>
            </w:r>
            <w:r w:rsidR="00396DDA" w:rsidRPr="005A336A">
              <w:rPr>
                <w:b/>
                <w:sz w:val="20"/>
              </w:rPr>
              <w:t>)</w:t>
            </w:r>
          </w:p>
        </w:tc>
        <w:tc>
          <w:tcPr>
            <w:tcW w:w="720" w:type="dxa"/>
            <w:gridSpan w:val="2"/>
          </w:tcPr>
          <w:p w14:paraId="73E31B2F" w14:textId="77777777" w:rsidR="00DF10C5" w:rsidRDefault="00DF10C5" w:rsidP="00DF10C5">
            <w:pPr>
              <w:rPr>
                <w:sz w:val="20"/>
              </w:rPr>
            </w:pPr>
          </w:p>
        </w:tc>
        <w:tc>
          <w:tcPr>
            <w:tcW w:w="720" w:type="dxa"/>
            <w:gridSpan w:val="2"/>
          </w:tcPr>
          <w:p w14:paraId="6A96C3A5" w14:textId="77777777" w:rsidR="00DF10C5" w:rsidRDefault="00DF10C5" w:rsidP="00DF10C5">
            <w:pPr>
              <w:rPr>
                <w:sz w:val="20"/>
              </w:rPr>
            </w:pPr>
          </w:p>
        </w:tc>
        <w:tc>
          <w:tcPr>
            <w:tcW w:w="720" w:type="dxa"/>
            <w:gridSpan w:val="2"/>
          </w:tcPr>
          <w:p w14:paraId="34DC8E99" w14:textId="77777777" w:rsidR="00DF10C5" w:rsidRDefault="00DF10C5" w:rsidP="00DF10C5">
            <w:pPr>
              <w:rPr>
                <w:sz w:val="20"/>
              </w:rPr>
            </w:pPr>
          </w:p>
        </w:tc>
        <w:tc>
          <w:tcPr>
            <w:tcW w:w="2988" w:type="dxa"/>
            <w:gridSpan w:val="2"/>
          </w:tcPr>
          <w:p w14:paraId="0C574E84" w14:textId="77777777" w:rsidR="00DF10C5" w:rsidRDefault="00DF10C5" w:rsidP="00DF10C5">
            <w:pPr>
              <w:rPr>
                <w:sz w:val="20"/>
              </w:rPr>
            </w:pPr>
          </w:p>
        </w:tc>
      </w:tr>
      <w:tr w:rsidR="0068190B" w14:paraId="7B621E24" w14:textId="77777777">
        <w:trPr>
          <w:gridAfter w:val="1"/>
          <w:wAfter w:w="7" w:type="dxa"/>
          <w:cantSplit/>
        </w:trPr>
        <w:tc>
          <w:tcPr>
            <w:tcW w:w="5868" w:type="dxa"/>
            <w:gridSpan w:val="2"/>
            <w:tcMar>
              <w:left w:w="115" w:type="dxa"/>
              <w:bottom w:w="144" w:type="dxa"/>
              <w:right w:w="115" w:type="dxa"/>
            </w:tcMar>
          </w:tcPr>
          <w:p w14:paraId="06250395" w14:textId="3230DDBB" w:rsidR="0068190B" w:rsidRPr="005A336A" w:rsidRDefault="0068190B" w:rsidP="00396DDA">
            <w:pPr>
              <w:numPr>
                <w:ilvl w:val="0"/>
                <w:numId w:val="3"/>
              </w:numPr>
              <w:rPr>
                <w:sz w:val="20"/>
              </w:rPr>
            </w:pPr>
            <w:r w:rsidRPr="005A336A">
              <w:rPr>
                <w:sz w:val="20"/>
              </w:rPr>
              <w:t xml:space="preserve">Has an unannounced observation been performed twice during each fiscal year (once during each six-month period, and not within thirty days of each other) of each of the following: slot coin drop, slot currency acceptor </w:t>
            </w:r>
            <w:proofErr w:type="gramStart"/>
            <w:r w:rsidRPr="005A336A">
              <w:rPr>
                <w:sz w:val="20"/>
              </w:rPr>
              <w:t>drop</w:t>
            </w:r>
            <w:proofErr w:type="gramEnd"/>
            <w:r w:rsidRPr="005A336A">
              <w:rPr>
                <w:sz w:val="20"/>
              </w:rPr>
              <w:t>, table games drop, slot coin count, slot currency acceptor count, and table games count</w:t>
            </w:r>
            <w:r w:rsidR="00BA778E" w:rsidRPr="005A336A">
              <w:rPr>
                <w:sz w:val="20"/>
              </w:rPr>
              <w:t xml:space="preserve">?  </w:t>
            </w:r>
            <w:r w:rsidR="00BA778E" w:rsidRPr="005A336A">
              <w:rPr>
                <w:b/>
                <w:sz w:val="20"/>
              </w:rPr>
              <w:t>(5</w:t>
            </w:r>
            <w:r w:rsidR="00A8130A" w:rsidRPr="005A336A">
              <w:rPr>
                <w:b/>
                <w:sz w:val="20"/>
              </w:rPr>
              <w:t xml:space="preserve"> of 1</w:t>
            </w:r>
            <w:r w:rsidR="00850460">
              <w:rPr>
                <w:b/>
                <w:sz w:val="20"/>
              </w:rPr>
              <w:t>5</w:t>
            </w:r>
            <w:r w:rsidR="00BA778E" w:rsidRPr="005A336A">
              <w:rPr>
                <w:b/>
                <w:sz w:val="20"/>
              </w:rPr>
              <w:t>)</w:t>
            </w:r>
          </w:p>
        </w:tc>
        <w:tc>
          <w:tcPr>
            <w:tcW w:w="720" w:type="dxa"/>
            <w:gridSpan w:val="2"/>
          </w:tcPr>
          <w:p w14:paraId="55071FCD" w14:textId="77777777" w:rsidR="0068190B" w:rsidRDefault="0068190B" w:rsidP="00DF10C5">
            <w:pPr>
              <w:rPr>
                <w:sz w:val="20"/>
              </w:rPr>
            </w:pPr>
          </w:p>
        </w:tc>
        <w:tc>
          <w:tcPr>
            <w:tcW w:w="720" w:type="dxa"/>
            <w:gridSpan w:val="2"/>
          </w:tcPr>
          <w:p w14:paraId="0D5BEFEA" w14:textId="77777777" w:rsidR="0068190B" w:rsidRDefault="0068190B" w:rsidP="00DF10C5">
            <w:pPr>
              <w:rPr>
                <w:sz w:val="20"/>
              </w:rPr>
            </w:pPr>
          </w:p>
        </w:tc>
        <w:tc>
          <w:tcPr>
            <w:tcW w:w="720" w:type="dxa"/>
            <w:gridSpan w:val="2"/>
          </w:tcPr>
          <w:p w14:paraId="1B0FA1D4" w14:textId="77777777" w:rsidR="0068190B" w:rsidRDefault="0068190B" w:rsidP="00DF10C5">
            <w:pPr>
              <w:rPr>
                <w:sz w:val="20"/>
              </w:rPr>
            </w:pPr>
          </w:p>
        </w:tc>
        <w:tc>
          <w:tcPr>
            <w:tcW w:w="2988" w:type="dxa"/>
            <w:gridSpan w:val="2"/>
          </w:tcPr>
          <w:p w14:paraId="41BFEFDF" w14:textId="77777777" w:rsidR="0068190B" w:rsidRDefault="0068190B" w:rsidP="00DF10C5">
            <w:pPr>
              <w:rPr>
                <w:sz w:val="20"/>
              </w:rPr>
            </w:pPr>
          </w:p>
        </w:tc>
      </w:tr>
      <w:tr w:rsidR="00BA778E" w14:paraId="7B678872" w14:textId="77777777">
        <w:trPr>
          <w:gridAfter w:val="1"/>
          <w:wAfter w:w="7" w:type="dxa"/>
          <w:cantSplit/>
        </w:trPr>
        <w:tc>
          <w:tcPr>
            <w:tcW w:w="5868" w:type="dxa"/>
            <w:gridSpan w:val="2"/>
            <w:tcMar>
              <w:left w:w="115" w:type="dxa"/>
              <w:bottom w:w="144" w:type="dxa"/>
              <w:right w:w="115" w:type="dxa"/>
            </w:tcMar>
          </w:tcPr>
          <w:p w14:paraId="7E2B4D00" w14:textId="022425BB" w:rsidR="00BA778E" w:rsidRPr="005A336A" w:rsidRDefault="00BA778E" w:rsidP="00396DDA">
            <w:pPr>
              <w:numPr>
                <w:ilvl w:val="0"/>
                <w:numId w:val="3"/>
              </w:numPr>
              <w:rPr>
                <w:sz w:val="20"/>
              </w:rPr>
            </w:pPr>
            <w:r w:rsidRPr="005A336A">
              <w:rPr>
                <w:sz w:val="20"/>
              </w:rPr>
              <w:t xml:space="preserve">If an unannounced observation of the slot coin drop and slot coin count is performed only once a year, does internal audit maintain documentation supporting slot coin drop was less than 5% of the annual total combined slot coin and slot currency drop during the previous business year? </w:t>
            </w:r>
            <w:r w:rsidRPr="005A336A">
              <w:rPr>
                <w:b/>
                <w:sz w:val="20"/>
              </w:rPr>
              <w:t>(</w:t>
            </w:r>
            <w:r w:rsidR="00F7296F">
              <w:rPr>
                <w:b/>
                <w:sz w:val="20"/>
              </w:rPr>
              <w:t>5</w:t>
            </w:r>
            <w:r w:rsidR="00A8130A" w:rsidRPr="005A336A">
              <w:rPr>
                <w:b/>
                <w:sz w:val="20"/>
              </w:rPr>
              <w:t xml:space="preserve"> of 1</w:t>
            </w:r>
            <w:r w:rsidR="00850460">
              <w:rPr>
                <w:b/>
                <w:sz w:val="20"/>
              </w:rPr>
              <w:t>5</w:t>
            </w:r>
            <w:r w:rsidRPr="005A336A">
              <w:rPr>
                <w:b/>
                <w:sz w:val="20"/>
              </w:rPr>
              <w:t>)</w:t>
            </w:r>
          </w:p>
        </w:tc>
        <w:tc>
          <w:tcPr>
            <w:tcW w:w="720" w:type="dxa"/>
            <w:gridSpan w:val="2"/>
          </w:tcPr>
          <w:p w14:paraId="5E35F800" w14:textId="77777777" w:rsidR="00BA778E" w:rsidRDefault="00BA778E" w:rsidP="00DF10C5">
            <w:pPr>
              <w:rPr>
                <w:sz w:val="20"/>
              </w:rPr>
            </w:pPr>
          </w:p>
        </w:tc>
        <w:tc>
          <w:tcPr>
            <w:tcW w:w="720" w:type="dxa"/>
            <w:gridSpan w:val="2"/>
          </w:tcPr>
          <w:p w14:paraId="577813B5" w14:textId="77777777" w:rsidR="00BA778E" w:rsidRDefault="00BA778E" w:rsidP="00DF10C5">
            <w:pPr>
              <w:rPr>
                <w:sz w:val="20"/>
              </w:rPr>
            </w:pPr>
          </w:p>
        </w:tc>
        <w:tc>
          <w:tcPr>
            <w:tcW w:w="720" w:type="dxa"/>
            <w:gridSpan w:val="2"/>
          </w:tcPr>
          <w:p w14:paraId="3498DC53" w14:textId="77777777" w:rsidR="00BA778E" w:rsidRDefault="00BA778E" w:rsidP="00DF10C5">
            <w:pPr>
              <w:rPr>
                <w:sz w:val="20"/>
              </w:rPr>
            </w:pPr>
          </w:p>
        </w:tc>
        <w:tc>
          <w:tcPr>
            <w:tcW w:w="2988" w:type="dxa"/>
            <w:gridSpan w:val="2"/>
          </w:tcPr>
          <w:p w14:paraId="67492043" w14:textId="77777777" w:rsidR="00BA778E" w:rsidRDefault="00BA778E" w:rsidP="00DF10C5">
            <w:pPr>
              <w:rPr>
                <w:sz w:val="20"/>
              </w:rPr>
            </w:pPr>
          </w:p>
        </w:tc>
      </w:tr>
      <w:tr w:rsidR="00BA778E" w14:paraId="167CD0C9" w14:textId="77777777">
        <w:trPr>
          <w:gridAfter w:val="1"/>
          <w:wAfter w:w="7" w:type="dxa"/>
          <w:cantSplit/>
        </w:trPr>
        <w:tc>
          <w:tcPr>
            <w:tcW w:w="5868" w:type="dxa"/>
            <w:gridSpan w:val="2"/>
            <w:tcMar>
              <w:left w:w="115" w:type="dxa"/>
              <w:bottom w:w="144" w:type="dxa"/>
              <w:right w:w="115" w:type="dxa"/>
            </w:tcMar>
          </w:tcPr>
          <w:p w14:paraId="4DEA8303" w14:textId="7B8EA125" w:rsidR="00BA778E" w:rsidRPr="005A336A" w:rsidRDefault="006E13F2" w:rsidP="00396DDA">
            <w:pPr>
              <w:numPr>
                <w:ilvl w:val="0"/>
                <w:numId w:val="3"/>
              </w:numPr>
              <w:rPr>
                <w:sz w:val="20"/>
              </w:rPr>
            </w:pPr>
            <w:r>
              <w:rPr>
                <w:sz w:val="20"/>
              </w:rPr>
              <w:t>Are</w:t>
            </w:r>
            <w:r w:rsidR="00BA778E" w:rsidRPr="005A336A">
              <w:rPr>
                <w:sz w:val="20"/>
              </w:rPr>
              <w:t xml:space="preserve"> the required internal audit procedures performed for any gaming revenue </w:t>
            </w:r>
            <w:r w:rsidR="000D21D6" w:rsidRPr="005A336A">
              <w:rPr>
                <w:sz w:val="20"/>
              </w:rPr>
              <w:t>center</w:t>
            </w:r>
            <w:r w:rsidR="00BF5F6F">
              <w:rPr>
                <w:sz w:val="20"/>
              </w:rPr>
              <w:t xml:space="preserve"> or</w:t>
            </w:r>
            <w:r>
              <w:rPr>
                <w:sz w:val="20"/>
              </w:rPr>
              <w:t xml:space="preserve"> </w:t>
            </w:r>
            <w:r w:rsidRPr="001E1B3F">
              <w:rPr>
                <w:sz w:val="20"/>
              </w:rPr>
              <w:t>interactive gaming operation</w:t>
            </w:r>
            <w:r w:rsidR="00BA778E" w:rsidRPr="005A336A">
              <w:rPr>
                <w:sz w:val="20"/>
              </w:rPr>
              <w:t xml:space="preserve"> or for </w:t>
            </w:r>
            <w:r w:rsidR="000D21D6" w:rsidRPr="005A336A">
              <w:rPr>
                <w:sz w:val="20"/>
              </w:rPr>
              <w:t>areas subject to entertainment t</w:t>
            </w:r>
            <w:r w:rsidR="00BA778E" w:rsidRPr="005A336A">
              <w:rPr>
                <w:sz w:val="20"/>
              </w:rPr>
              <w:t xml:space="preserve">ax being operated for more than three months during the licensee’s business year?  </w:t>
            </w:r>
            <w:r w:rsidR="00BA778E" w:rsidRPr="005A336A">
              <w:rPr>
                <w:b/>
                <w:sz w:val="20"/>
              </w:rPr>
              <w:t>(6</w:t>
            </w:r>
            <w:r w:rsidR="00A8130A" w:rsidRPr="005A336A">
              <w:rPr>
                <w:b/>
                <w:sz w:val="20"/>
              </w:rPr>
              <w:t xml:space="preserve"> of 1</w:t>
            </w:r>
            <w:r w:rsidR="00850460">
              <w:rPr>
                <w:b/>
                <w:sz w:val="20"/>
              </w:rPr>
              <w:t>5</w:t>
            </w:r>
            <w:r w:rsidR="00BA778E" w:rsidRPr="005A336A">
              <w:rPr>
                <w:b/>
                <w:sz w:val="20"/>
              </w:rPr>
              <w:t>)</w:t>
            </w:r>
          </w:p>
        </w:tc>
        <w:tc>
          <w:tcPr>
            <w:tcW w:w="720" w:type="dxa"/>
            <w:gridSpan w:val="2"/>
          </w:tcPr>
          <w:p w14:paraId="38B0DED6" w14:textId="77777777" w:rsidR="00BA778E" w:rsidRDefault="00BA778E" w:rsidP="00DF10C5">
            <w:pPr>
              <w:rPr>
                <w:sz w:val="20"/>
              </w:rPr>
            </w:pPr>
          </w:p>
        </w:tc>
        <w:tc>
          <w:tcPr>
            <w:tcW w:w="720" w:type="dxa"/>
            <w:gridSpan w:val="2"/>
          </w:tcPr>
          <w:p w14:paraId="74617BED" w14:textId="77777777" w:rsidR="00BA778E" w:rsidRDefault="00BA778E" w:rsidP="00DF10C5">
            <w:pPr>
              <w:rPr>
                <w:sz w:val="20"/>
              </w:rPr>
            </w:pPr>
          </w:p>
        </w:tc>
        <w:tc>
          <w:tcPr>
            <w:tcW w:w="720" w:type="dxa"/>
            <w:gridSpan w:val="2"/>
          </w:tcPr>
          <w:p w14:paraId="5ADC182D" w14:textId="77777777" w:rsidR="00BA778E" w:rsidRDefault="00BA778E" w:rsidP="00DF10C5">
            <w:pPr>
              <w:rPr>
                <w:sz w:val="20"/>
              </w:rPr>
            </w:pPr>
          </w:p>
        </w:tc>
        <w:tc>
          <w:tcPr>
            <w:tcW w:w="2988" w:type="dxa"/>
            <w:gridSpan w:val="2"/>
          </w:tcPr>
          <w:p w14:paraId="48985189" w14:textId="77777777" w:rsidR="00BA778E" w:rsidRDefault="00BA778E" w:rsidP="00DF10C5">
            <w:pPr>
              <w:rPr>
                <w:sz w:val="20"/>
              </w:rPr>
            </w:pPr>
          </w:p>
        </w:tc>
      </w:tr>
      <w:tr w:rsidR="00A62E33" w14:paraId="5E47B9F5" w14:textId="77777777">
        <w:trPr>
          <w:gridAfter w:val="1"/>
          <w:wAfter w:w="7" w:type="dxa"/>
          <w:cantSplit/>
        </w:trPr>
        <w:tc>
          <w:tcPr>
            <w:tcW w:w="5868" w:type="dxa"/>
            <w:gridSpan w:val="2"/>
            <w:tcMar>
              <w:left w:w="115" w:type="dxa"/>
              <w:bottom w:w="144" w:type="dxa"/>
              <w:right w:w="115" w:type="dxa"/>
            </w:tcMar>
          </w:tcPr>
          <w:p w14:paraId="4D626498" w14:textId="5695D96B" w:rsidR="00A62E33" w:rsidRPr="00A62E33" w:rsidRDefault="00A62E33" w:rsidP="00396DDA">
            <w:pPr>
              <w:numPr>
                <w:ilvl w:val="0"/>
                <w:numId w:val="3"/>
              </w:numPr>
              <w:rPr>
                <w:b/>
                <w:sz w:val="20"/>
                <w:u w:val="single"/>
              </w:rPr>
            </w:pPr>
            <w:r w:rsidRPr="005A336A">
              <w:rPr>
                <w:sz w:val="20"/>
              </w:rPr>
              <w:t>Are inquiries and observations performed during the period under review, is document compliance testing performed for dates within the period under review and do testing procedures include the selection of at least one test date during each review period?</w:t>
            </w:r>
            <w:r w:rsidRPr="00A62E33">
              <w:rPr>
                <w:b/>
                <w:sz w:val="20"/>
                <w:u w:val="single"/>
              </w:rPr>
              <w:t xml:space="preserve">  </w:t>
            </w:r>
            <w:r w:rsidRPr="005A336A">
              <w:rPr>
                <w:b/>
                <w:sz w:val="20"/>
              </w:rPr>
              <w:t>(</w:t>
            </w:r>
            <w:r w:rsidR="00AA776F">
              <w:rPr>
                <w:b/>
                <w:sz w:val="20"/>
              </w:rPr>
              <w:t xml:space="preserve">3 &amp; </w:t>
            </w:r>
            <w:r w:rsidR="00EC3A06">
              <w:rPr>
                <w:b/>
                <w:sz w:val="20"/>
              </w:rPr>
              <w:t>6</w:t>
            </w:r>
            <w:r w:rsidR="00A8130A" w:rsidRPr="005A336A">
              <w:rPr>
                <w:b/>
                <w:sz w:val="20"/>
              </w:rPr>
              <w:t xml:space="preserve"> of 1</w:t>
            </w:r>
            <w:r w:rsidR="00850460">
              <w:rPr>
                <w:b/>
                <w:sz w:val="20"/>
              </w:rPr>
              <w:t>5</w:t>
            </w:r>
            <w:r w:rsidRPr="005A336A">
              <w:rPr>
                <w:b/>
                <w:sz w:val="20"/>
              </w:rPr>
              <w:t>)</w:t>
            </w:r>
          </w:p>
        </w:tc>
        <w:tc>
          <w:tcPr>
            <w:tcW w:w="720" w:type="dxa"/>
            <w:gridSpan w:val="2"/>
          </w:tcPr>
          <w:p w14:paraId="52B9F030" w14:textId="77777777" w:rsidR="00A62E33" w:rsidRDefault="00A62E33" w:rsidP="00DF10C5">
            <w:pPr>
              <w:rPr>
                <w:sz w:val="20"/>
              </w:rPr>
            </w:pPr>
          </w:p>
        </w:tc>
        <w:tc>
          <w:tcPr>
            <w:tcW w:w="720" w:type="dxa"/>
            <w:gridSpan w:val="2"/>
          </w:tcPr>
          <w:p w14:paraId="42403A87" w14:textId="77777777" w:rsidR="00A62E33" w:rsidRDefault="00A62E33" w:rsidP="00DF10C5">
            <w:pPr>
              <w:rPr>
                <w:sz w:val="20"/>
              </w:rPr>
            </w:pPr>
          </w:p>
        </w:tc>
        <w:tc>
          <w:tcPr>
            <w:tcW w:w="720" w:type="dxa"/>
            <w:gridSpan w:val="2"/>
          </w:tcPr>
          <w:p w14:paraId="351225C2" w14:textId="77777777" w:rsidR="00A62E33" w:rsidRDefault="00A62E33" w:rsidP="00DF10C5">
            <w:pPr>
              <w:rPr>
                <w:sz w:val="20"/>
              </w:rPr>
            </w:pPr>
          </w:p>
        </w:tc>
        <w:tc>
          <w:tcPr>
            <w:tcW w:w="2988" w:type="dxa"/>
            <w:gridSpan w:val="2"/>
          </w:tcPr>
          <w:p w14:paraId="143F5FB7" w14:textId="77777777" w:rsidR="00A62E33" w:rsidRDefault="00A62E33" w:rsidP="00DF10C5">
            <w:pPr>
              <w:rPr>
                <w:sz w:val="20"/>
              </w:rPr>
            </w:pPr>
          </w:p>
        </w:tc>
      </w:tr>
      <w:tr w:rsidR="00A62E33" w14:paraId="7C79BADC" w14:textId="77777777">
        <w:trPr>
          <w:gridAfter w:val="1"/>
          <w:wAfter w:w="7" w:type="dxa"/>
          <w:cantSplit/>
        </w:trPr>
        <w:tc>
          <w:tcPr>
            <w:tcW w:w="5868" w:type="dxa"/>
            <w:gridSpan w:val="2"/>
            <w:tcMar>
              <w:left w:w="115" w:type="dxa"/>
              <w:bottom w:w="144" w:type="dxa"/>
              <w:right w:w="115" w:type="dxa"/>
            </w:tcMar>
          </w:tcPr>
          <w:p w14:paraId="00B5DAFA" w14:textId="4DC2D36F" w:rsidR="00A62E33" w:rsidRPr="005A336A" w:rsidRDefault="00A62E33" w:rsidP="00396DDA">
            <w:pPr>
              <w:numPr>
                <w:ilvl w:val="0"/>
                <w:numId w:val="3"/>
              </w:numPr>
              <w:rPr>
                <w:sz w:val="20"/>
              </w:rPr>
            </w:pPr>
            <w:r w:rsidRPr="005A336A">
              <w:rPr>
                <w:sz w:val="20"/>
              </w:rPr>
              <w:lastRenderedPageBreak/>
              <w:t xml:space="preserve">When internal audit performs accounting/audit procedures required by the MICS that are similar to required internal audit procedures, is the individual that performs the MICS procedure precluded from performing the similar internal audit procedure?  </w:t>
            </w:r>
            <w:r w:rsidRPr="005A336A">
              <w:rPr>
                <w:b/>
                <w:sz w:val="20"/>
              </w:rPr>
              <w:t>(6</w:t>
            </w:r>
            <w:r w:rsidR="00A8130A" w:rsidRPr="005A336A">
              <w:rPr>
                <w:b/>
                <w:sz w:val="20"/>
              </w:rPr>
              <w:t xml:space="preserve"> of 1</w:t>
            </w:r>
            <w:r w:rsidR="00850460">
              <w:rPr>
                <w:b/>
                <w:sz w:val="20"/>
              </w:rPr>
              <w:t>5</w:t>
            </w:r>
            <w:r w:rsidRPr="005A336A">
              <w:rPr>
                <w:b/>
                <w:sz w:val="20"/>
              </w:rPr>
              <w:t>)</w:t>
            </w:r>
          </w:p>
        </w:tc>
        <w:tc>
          <w:tcPr>
            <w:tcW w:w="720" w:type="dxa"/>
            <w:gridSpan w:val="2"/>
          </w:tcPr>
          <w:p w14:paraId="5B9E5CAB" w14:textId="77777777" w:rsidR="00A62E33" w:rsidRDefault="00A62E33" w:rsidP="00DF10C5">
            <w:pPr>
              <w:rPr>
                <w:sz w:val="20"/>
              </w:rPr>
            </w:pPr>
          </w:p>
        </w:tc>
        <w:tc>
          <w:tcPr>
            <w:tcW w:w="720" w:type="dxa"/>
            <w:gridSpan w:val="2"/>
          </w:tcPr>
          <w:p w14:paraId="655600A2" w14:textId="77777777" w:rsidR="00A62E33" w:rsidRDefault="00A62E33" w:rsidP="00DF10C5">
            <w:pPr>
              <w:rPr>
                <w:sz w:val="20"/>
              </w:rPr>
            </w:pPr>
          </w:p>
        </w:tc>
        <w:tc>
          <w:tcPr>
            <w:tcW w:w="720" w:type="dxa"/>
            <w:gridSpan w:val="2"/>
          </w:tcPr>
          <w:p w14:paraId="2F633D77" w14:textId="77777777" w:rsidR="00A62E33" w:rsidRDefault="00A62E33" w:rsidP="00DF10C5">
            <w:pPr>
              <w:rPr>
                <w:sz w:val="20"/>
              </w:rPr>
            </w:pPr>
          </w:p>
        </w:tc>
        <w:tc>
          <w:tcPr>
            <w:tcW w:w="2988" w:type="dxa"/>
            <w:gridSpan w:val="2"/>
          </w:tcPr>
          <w:p w14:paraId="0D39C651" w14:textId="77777777" w:rsidR="00A62E33" w:rsidRDefault="00A62E33" w:rsidP="00DF10C5">
            <w:pPr>
              <w:rPr>
                <w:sz w:val="20"/>
              </w:rPr>
            </w:pPr>
          </w:p>
        </w:tc>
      </w:tr>
      <w:tr w:rsidR="00A62E33" w14:paraId="36D95E1C" w14:textId="77777777">
        <w:trPr>
          <w:gridAfter w:val="1"/>
          <w:wAfter w:w="7" w:type="dxa"/>
          <w:cantSplit/>
        </w:trPr>
        <w:tc>
          <w:tcPr>
            <w:tcW w:w="5868" w:type="dxa"/>
            <w:gridSpan w:val="2"/>
            <w:tcMar>
              <w:left w:w="115" w:type="dxa"/>
              <w:bottom w:w="144" w:type="dxa"/>
              <w:right w:w="115" w:type="dxa"/>
            </w:tcMar>
          </w:tcPr>
          <w:p w14:paraId="650274EB" w14:textId="463622F0" w:rsidR="00A62E33" w:rsidRPr="005A336A" w:rsidRDefault="00A62E33" w:rsidP="00396DDA">
            <w:pPr>
              <w:numPr>
                <w:ilvl w:val="0"/>
                <w:numId w:val="3"/>
              </w:numPr>
              <w:rPr>
                <w:sz w:val="20"/>
              </w:rPr>
            </w:pPr>
            <w:r w:rsidRPr="005A336A">
              <w:rPr>
                <w:sz w:val="20"/>
              </w:rPr>
              <w:t xml:space="preserve">Are all questions on each applicable checklist completed and are detailed explanations provided for all “no” and “N/A” answers and exceptions noted during document testing?  </w:t>
            </w:r>
            <w:r w:rsidRPr="005A336A">
              <w:rPr>
                <w:b/>
                <w:sz w:val="20"/>
              </w:rPr>
              <w:t>(7</w:t>
            </w:r>
            <w:r w:rsidR="00A8130A" w:rsidRPr="005A336A">
              <w:rPr>
                <w:b/>
                <w:sz w:val="20"/>
              </w:rPr>
              <w:t xml:space="preserve"> of 1</w:t>
            </w:r>
            <w:r w:rsidR="00850460">
              <w:rPr>
                <w:b/>
                <w:sz w:val="20"/>
              </w:rPr>
              <w:t>5</w:t>
            </w:r>
            <w:r w:rsidRPr="005A336A">
              <w:rPr>
                <w:b/>
                <w:sz w:val="20"/>
              </w:rPr>
              <w:t>)</w:t>
            </w:r>
            <w:r w:rsidRPr="005A336A">
              <w:rPr>
                <w:sz w:val="20"/>
              </w:rPr>
              <w:t xml:space="preserve">  </w:t>
            </w:r>
          </w:p>
        </w:tc>
        <w:tc>
          <w:tcPr>
            <w:tcW w:w="720" w:type="dxa"/>
            <w:gridSpan w:val="2"/>
          </w:tcPr>
          <w:p w14:paraId="2A4C43E6" w14:textId="77777777" w:rsidR="00A62E33" w:rsidRDefault="00A62E33" w:rsidP="00DF10C5">
            <w:pPr>
              <w:rPr>
                <w:sz w:val="20"/>
              </w:rPr>
            </w:pPr>
          </w:p>
        </w:tc>
        <w:tc>
          <w:tcPr>
            <w:tcW w:w="720" w:type="dxa"/>
            <w:gridSpan w:val="2"/>
          </w:tcPr>
          <w:p w14:paraId="4AD590F1" w14:textId="77777777" w:rsidR="00A62E33" w:rsidRDefault="00A62E33" w:rsidP="00DF10C5">
            <w:pPr>
              <w:rPr>
                <w:sz w:val="20"/>
              </w:rPr>
            </w:pPr>
          </w:p>
        </w:tc>
        <w:tc>
          <w:tcPr>
            <w:tcW w:w="720" w:type="dxa"/>
            <w:gridSpan w:val="2"/>
          </w:tcPr>
          <w:p w14:paraId="7E2644D7" w14:textId="77777777" w:rsidR="00A62E33" w:rsidRDefault="00A62E33" w:rsidP="00DF10C5">
            <w:pPr>
              <w:rPr>
                <w:sz w:val="20"/>
              </w:rPr>
            </w:pPr>
          </w:p>
        </w:tc>
        <w:tc>
          <w:tcPr>
            <w:tcW w:w="2988" w:type="dxa"/>
            <w:gridSpan w:val="2"/>
          </w:tcPr>
          <w:p w14:paraId="1D2BDD66" w14:textId="77777777" w:rsidR="00A62E33" w:rsidRDefault="00A62E33" w:rsidP="00DF10C5">
            <w:pPr>
              <w:rPr>
                <w:sz w:val="20"/>
              </w:rPr>
            </w:pPr>
          </w:p>
        </w:tc>
      </w:tr>
      <w:tr w:rsidR="00A62E33" w14:paraId="41C78530" w14:textId="77777777">
        <w:trPr>
          <w:gridAfter w:val="1"/>
          <w:wAfter w:w="7" w:type="dxa"/>
          <w:cantSplit/>
        </w:trPr>
        <w:tc>
          <w:tcPr>
            <w:tcW w:w="5868" w:type="dxa"/>
            <w:gridSpan w:val="2"/>
            <w:tcMar>
              <w:left w:w="115" w:type="dxa"/>
              <w:bottom w:w="144" w:type="dxa"/>
              <w:right w:w="115" w:type="dxa"/>
            </w:tcMar>
          </w:tcPr>
          <w:p w14:paraId="4BFC19A9" w14:textId="77777777" w:rsidR="00A62E33" w:rsidRPr="005A336A" w:rsidRDefault="00A62E33" w:rsidP="00396DDA">
            <w:pPr>
              <w:numPr>
                <w:ilvl w:val="0"/>
                <w:numId w:val="3"/>
              </w:numPr>
              <w:rPr>
                <w:sz w:val="20"/>
              </w:rPr>
            </w:pPr>
            <w:r w:rsidRPr="005A336A">
              <w:rPr>
                <w:sz w:val="20"/>
              </w:rPr>
              <w:t>Answer the following questions relating to the required drop and/or count observations:</w:t>
            </w:r>
          </w:p>
        </w:tc>
        <w:tc>
          <w:tcPr>
            <w:tcW w:w="720" w:type="dxa"/>
            <w:gridSpan w:val="2"/>
          </w:tcPr>
          <w:p w14:paraId="217138CB" w14:textId="77777777" w:rsidR="00A62E33" w:rsidRDefault="00A62E33" w:rsidP="00DF10C5">
            <w:pPr>
              <w:rPr>
                <w:sz w:val="20"/>
              </w:rPr>
            </w:pPr>
          </w:p>
        </w:tc>
        <w:tc>
          <w:tcPr>
            <w:tcW w:w="720" w:type="dxa"/>
            <w:gridSpan w:val="2"/>
          </w:tcPr>
          <w:p w14:paraId="0F9C99C4" w14:textId="77777777" w:rsidR="00A62E33" w:rsidRDefault="00A62E33" w:rsidP="00DF10C5">
            <w:pPr>
              <w:rPr>
                <w:sz w:val="20"/>
              </w:rPr>
            </w:pPr>
          </w:p>
        </w:tc>
        <w:tc>
          <w:tcPr>
            <w:tcW w:w="720" w:type="dxa"/>
            <w:gridSpan w:val="2"/>
          </w:tcPr>
          <w:p w14:paraId="05C3BBC3" w14:textId="77777777" w:rsidR="00A62E33" w:rsidRDefault="00A62E33" w:rsidP="00DF10C5">
            <w:pPr>
              <w:rPr>
                <w:sz w:val="20"/>
              </w:rPr>
            </w:pPr>
          </w:p>
        </w:tc>
        <w:tc>
          <w:tcPr>
            <w:tcW w:w="2988" w:type="dxa"/>
            <w:gridSpan w:val="2"/>
          </w:tcPr>
          <w:p w14:paraId="4106ED39" w14:textId="77777777" w:rsidR="00A62E33" w:rsidRDefault="00A62E33" w:rsidP="00DF10C5">
            <w:pPr>
              <w:rPr>
                <w:sz w:val="20"/>
              </w:rPr>
            </w:pPr>
          </w:p>
        </w:tc>
      </w:tr>
      <w:tr w:rsidR="00A62E33" w14:paraId="6D2148B8" w14:textId="77777777">
        <w:trPr>
          <w:gridAfter w:val="1"/>
          <w:wAfter w:w="7" w:type="dxa"/>
          <w:cantSplit/>
        </w:trPr>
        <w:tc>
          <w:tcPr>
            <w:tcW w:w="5868" w:type="dxa"/>
            <w:gridSpan w:val="2"/>
            <w:tcMar>
              <w:left w:w="115" w:type="dxa"/>
              <w:bottom w:w="144" w:type="dxa"/>
              <w:right w:w="115" w:type="dxa"/>
            </w:tcMar>
          </w:tcPr>
          <w:p w14:paraId="1E4D6858" w14:textId="25E73452" w:rsidR="00A62E33" w:rsidRPr="005A336A" w:rsidRDefault="00A62E33" w:rsidP="00A62E33">
            <w:pPr>
              <w:numPr>
                <w:ilvl w:val="1"/>
                <w:numId w:val="3"/>
              </w:numPr>
              <w:ind w:left="720" w:hanging="360"/>
              <w:rPr>
                <w:sz w:val="20"/>
              </w:rPr>
            </w:pPr>
            <w:r w:rsidRPr="005A336A">
              <w:rPr>
                <w:sz w:val="20"/>
              </w:rPr>
              <w:t xml:space="preserve">Are the observations performed on an unannounced basis such that no advance information (including days, weeks, months, or quarters) of upcoming observations is provided, in any manner, to any officer, director or any other employee and, whenever possible, are they performed without the employees being aware that their activities are being observed?  </w:t>
            </w:r>
            <w:r w:rsidRPr="005A336A">
              <w:rPr>
                <w:b/>
                <w:sz w:val="20"/>
              </w:rPr>
              <w:t>(7</w:t>
            </w:r>
            <w:r w:rsidR="00A8130A" w:rsidRPr="005A336A">
              <w:rPr>
                <w:b/>
                <w:sz w:val="20"/>
              </w:rPr>
              <w:t xml:space="preserve"> </w:t>
            </w:r>
            <w:r w:rsidR="001E000E">
              <w:rPr>
                <w:b/>
                <w:sz w:val="20"/>
              </w:rPr>
              <w:t xml:space="preserve">– 8 </w:t>
            </w:r>
            <w:r w:rsidR="00A8130A" w:rsidRPr="005A336A">
              <w:rPr>
                <w:b/>
                <w:sz w:val="20"/>
              </w:rPr>
              <w:t>of 1</w:t>
            </w:r>
            <w:r w:rsidR="00850460">
              <w:rPr>
                <w:b/>
                <w:sz w:val="20"/>
              </w:rPr>
              <w:t>5</w:t>
            </w:r>
            <w:r w:rsidRPr="005A336A">
              <w:rPr>
                <w:b/>
                <w:sz w:val="20"/>
              </w:rPr>
              <w:t>)</w:t>
            </w:r>
          </w:p>
          <w:p w14:paraId="1AA8ACA5" w14:textId="77777777" w:rsidR="00A62E33" w:rsidRDefault="00A62E33" w:rsidP="00A62E33">
            <w:pPr>
              <w:rPr>
                <w:b/>
                <w:sz w:val="20"/>
                <w:u w:val="single"/>
              </w:rPr>
            </w:pPr>
          </w:p>
          <w:p w14:paraId="53F40404" w14:textId="6A6DCACF" w:rsidR="00A62E33" w:rsidRPr="005A336A" w:rsidRDefault="00A62E33" w:rsidP="003C2386">
            <w:pPr>
              <w:ind w:left="720"/>
              <w:rPr>
                <w:sz w:val="20"/>
              </w:rPr>
            </w:pPr>
            <w:r w:rsidRPr="009224AF">
              <w:rPr>
                <w:b/>
                <w:bCs/>
                <w:sz w:val="20"/>
              </w:rPr>
              <w:t>Note:</w:t>
            </w:r>
            <w:r w:rsidRPr="005A336A">
              <w:rPr>
                <w:bCs/>
                <w:sz w:val="20"/>
              </w:rPr>
              <w:t xml:space="preserve">  </w:t>
            </w:r>
            <w:r w:rsidRPr="005A336A">
              <w:rPr>
                <w:sz w:val="20"/>
              </w:rPr>
              <w:t>If practical, observations may be performed from the surveillance room.</w:t>
            </w:r>
            <w:r w:rsidR="003818D8" w:rsidRPr="005A336A">
              <w:rPr>
                <w:sz w:val="20"/>
              </w:rPr>
              <w:t xml:space="preserve"> </w:t>
            </w:r>
            <w:r w:rsidR="00056C40">
              <w:rPr>
                <w:b/>
                <w:sz w:val="20"/>
              </w:rPr>
              <w:t>(</w:t>
            </w:r>
            <w:r w:rsidR="001E000E">
              <w:rPr>
                <w:b/>
                <w:sz w:val="20"/>
              </w:rPr>
              <w:t>8</w:t>
            </w:r>
            <w:r w:rsidR="00A8130A" w:rsidRPr="005A336A">
              <w:rPr>
                <w:b/>
                <w:sz w:val="20"/>
              </w:rPr>
              <w:t xml:space="preserve"> of 1</w:t>
            </w:r>
            <w:r w:rsidR="00850460">
              <w:rPr>
                <w:b/>
                <w:sz w:val="20"/>
              </w:rPr>
              <w:t>5</w:t>
            </w:r>
            <w:r w:rsidR="003818D8" w:rsidRPr="005A336A">
              <w:rPr>
                <w:b/>
                <w:sz w:val="20"/>
              </w:rPr>
              <w:t>)</w:t>
            </w:r>
          </w:p>
        </w:tc>
        <w:tc>
          <w:tcPr>
            <w:tcW w:w="720" w:type="dxa"/>
            <w:gridSpan w:val="2"/>
          </w:tcPr>
          <w:p w14:paraId="534AF1A2" w14:textId="77777777" w:rsidR="00A62E33" w:rsidRDefault="00A62E33" w:rsidP="00DF10C5">
            <w:pPr>
              <w:rPr>
                <w:sz w:val="20"/>
              </w:rPr>
            </w:pPr>
          </w:p>
        </w:tc>
        <w:tc>
          <w:tcPr>
            <w:tcW w:w="720" w:type="dxa"/>
            <w:gridSpan w:val="2"/>
          </w:tcPr>
          <w:p w14:paraId="7D24A811" w14:textId="77777777" w:rsidR="00A62E33" w:rsidRDefault="00A62E33" w:rsidP="00DF10C5">
            <w:pPr>
              <w:rPr>
                <w:sz w:val="20"/>
              </w:rPr>
            </w:pPr>
          </w:p>
        </w:tc>
        <w:tc>
          <w:tcPr>
            <w:tcW w:w="720" w:type="dxa"/>
            <w:gridSpan w:val="2"/>
          </w:tcPr>
          <w:p w14:paraId="02509AAD" w14:textId="77777777" w:rsidR="00A62E33" w:rsidRDefault="00A62E33" w:rsidP="00DF10C5">
            <w:pPr>
              <w:rPr>
                <w:sz w:val="20"/>
              </w:rPr>
            </w:pPr>
          </w:p>
        </w:tc>
        <w:tc>
          <w:tcPr>
            <w:tcW w:w="2988" w:type="dxa"/>
            <w:gridSpan w:val="2"/>
          </w:tcPr>
          <w:p w14:paraId="694A941F" w14:textId="77777777" w:rsidR="00A62E33" w:rsidRDefault="00A62E33" w:rsidP="00DF10C5">
            <w:pPr>
              <w:rPr>
                <w:sz w:val="20"/>
              </w:rPr>
            </w:pPr>
          </w:p>
        </w:tc>
      </w:tr>
      <w:tr w:rsidR="00A62E33" w14:paraId="4EE348BE" w14:textId="77777777">
        <w:trPr>
          <w:gridAfter w:val="1"/>
          <w:wAfter w:w="7" w:type="dxa"/>
          <w:cantSplit/>
        </w:trPr>
        <w:tc>
          <w:tcPr>
            <w:tcW w:w="5868" w:type="dxa"/>
            <w:gridSpan w:val="2"/>
            <w:tcMar>
              <w:left w:w="115" w:type="dxa"/>
              <w:bottom w:w="144" w:type="dxa"/>
              <w:right w:w="115" w:type="dxa"/>
            </w:tcMar>
          </w:tcPr>
          <w:p w14:paraId="30EFBB6C" w14:textId="56A6922B" w:rsidR="00A62E33" w:rsidRDefault="00A62E33" w:rsidP="005A336A">
            <w:pPr>
              <w:numPr>
                <w:ilvl w:val="1"/>
                <w:numId w:val="3"/>
              </w:numPr>
              <w:ind w:left="720" w:hanging="360"/>
              <w:rPr>
                <w:b/>
                <w:sz w:val="20"/>
                <w:u w:val="single"/>
              </w:rPr>
            </w:pPr>
            <w:r w:rsidRPr="005A336A">
              <w:rPr>
                <w:sz w:val="20"/>
              </w:rPr>
              <w:t>Is a count observation performed on the same day as the corresponding drop observation only when the drop team is unaware of the drop observation and the count observation would be unexpected?</w:t>
            </w:r>
            <w:r w:rsidRPr="005A336A">
              <w:rPr>
                <w:b/>
                <w:sz w:val="20"/>
              </w:rPr>
              <w:t xml:space="preserve"> </w:t>
            </w:r>
            <w:r w:rsidR="00056C40">
              <w:rPr>
                <w:b/>
                <w:sz w:val="20"/>
              </w:rPr>
              <w:t>(</w:t>
            </w:r>
            <w:r w:rsidR="001E000E">
              <w:rPr>
                <w:b/>
                <w:sz w:val="20"/>
              </w:rPr>
              <w:t>8</w:t>
            </w:r>
            <w:r w:rsidR="00A8130A" w:rsidRPr="005A336A">
              <w:rPr>
                <w:b/>
                <w:sz w:val="20"/>
              </w:rPr>
              <w:t xml:space="preserve"> of 1</w:t>
            </w:r>
            <w:r w:rsidR="00850460">
              <w:rPr>
                <w:b/>
                <w:sz w:val="20"/>
              </w:rPr>
              <w:t>5</w:t>
            </w:r>
            <w:r w:rsidR="003818D8" w:rsidRPr="005A336A">
              <w:rPr>
                <w:b/>
                <w:sz w:val="20"/>
              </w:rPr>
              <w:t>)</w:t>
            </w:r>
            <w:r w:rsidRPr="005A336A">
              <w:rPr>
                <w:b/>
                <w:sz w:val="20"/>
              </w:rPr>
              <w:t xml:space="preserve"> </w:t>
            </w:r>
          </w:p>
          <w:p w14:paraId="77F5EC62" w14:textId="77777777" w:rsidR="003818D8" w:rsidRDefault="003818D8" w:rsidP="003818D8">
            <w:pPr>
              <w:rPr>
                <w:b/>
                <w:sz w:val="20"/>
                <w:u w:val="single"/>
              </w:rPr>
            </w:pPr>
          </w:p>
          <w:p w14:paraId="307A56C0" w14:textId="3F0BFF15" w:rsidR="003818D8" w:rsidRPr="003818D8" w:rsidRDefault="003818D8" w:rsidP="003C2386">
            <w:pPr>
              <w:ind w:left="720"/>
              <w:rPr>
                <w:b/>
                <w:sz w:val="20"/>
                <w:u w:val="single"/>
              </w:rPr>
            </w:pPr>
            <w:r w:rsidRPr="009224AF">
              <w:rPr>
                <w:b/>
                <w:bCs/>
                <w:sz w:val="20"/>
              </w:rPr>
              <w:t>Note:</w:t>
            </w:r>
            <w:r w:rsidRPr="005A336A">
              <w:rPr>
                <w:bCs/>
                <w:sz w:val="20"/>
              </w:rPr>
              <w:t xml:space="preserve">  </w:t>
            </w:r>
            <w:r w:rsidRPr="005A336A">
              <w:rPr>
                <w:sz w:val="20"/>
              </w:rPr>
              <w:t xml:space="preserve">Hard and soft count observations can be performed on the same day if the count observations are unexpected as described above and the count rooms are entered simultaneously.  </w:t>
            </w:r>
            <w:r w:rsidRPr="005A336A">
              <w:rPr>
                <w:b/>
                <w:sz w:val="20"/>
              </w:rPr>
              <w:t>(</w:t>
            </w:r>
            <w:r w:rsidR="001E000E">
              <w:rPr>
                <w:b/>
                <w:sz w:val="20"/>
              </w:rPr>
              <w:t>8</w:t>
            </w:r>
            <w:r w:rsidR="003C2386" w:rsidRPr="005A336A">
              <w:rPr>
                <w:b/>
                <w:sz w:val="20"/>
              </w:rPr>
              <w:t xml:space="preserve"> </w:t>
            </w:r>
            <w:r w:rsidR="00A8130A" w:rsidRPr="005A336A">
              <w:rPr>
                <w:b/>
                <w:sz w:val="20"/>
              </w:rPr>
              <w:t>of 1</w:t>
            </w:r>
            <w:r w:rsidR="00850460">
              <w:rPr>
                <w:b/>
                <w:sz w:val="20"/>
              </w:rPr>
              <w:t>5</w:t>
            </w:r>
            <w:r w:rsidRPr="005A336A">
              <w:rPr>
                <w:b/>
                <w:sz w:val="20"/>
              </w:rPr>
              <w:t>)</w:t>
            </w:r>
          </w:p>
        </w:tc>
        <w:tc>
          <w:tcPr>
            <w:tcW w:w="720" w:type="dxa"/>
            <w:gridSpan w:val="2"/>
          </w:tcPr>
          <w:p w14:paraId="605ED3FF" w14:textId="77777777" w:rsidR="00A62E33" w:rsidRDefault="00A62E33" w:rsidP="00DF10C5">
            <w:pPr>
              <w:rPr>
                <w:sz w:val="20"/>
              </w:rPr>
            </w:pPr>
          </w:p>
        </w:tc>
        <w:tc>
          <w:tcPr>
            <w:tcW w:w="720" w:type="dxa"/>
            <w:gridSpan w:val="2"/>
          </w:tcPr>
          <w:p w14:paraId="30F7CC15" w14:textId="77777777" w:rsidR="00A62E33" w:rsidRDefault="00A62E33" w:rsidP="00DF10C5">
            <w:pPr>
              <w:rPr>
                <w:sz w:val="20"/>
              </w:rPr>
            </w:pPr>
          </w:p>
        </w:tc>
        <w:tc>
          <w:tcPr>
            <w:tcW w:w="720" w:type="dxa"/>
            <w:gridSpan w:val="2"/>
          </w:tcPr>
          <w:p w14:paraId="2D5D116E" w14:textId="77777777" w:rsidR="00A62E33" w:rsidRDefault="00A62E33" w:rsidP="00DF10C5">
            <w:pPr>
              <w:rPr>
                <w:sz w:val="20"/>
              </w:rPr>
            </w:pPr>
          </w:p>
        </w:tc>
        <w:tc>
          <w:tcPr>
            <w:tcW w:w="2988" w:type="dxa"/>
            <w:gridSpan w:val="2"/>
          </w:tcPr>
          <w:p w14:paraId="66726D98" w14:textId="77777777" w:rsidR="00A62E33" w:rsidRDefault="00A62E33" w:rsidP="00DF10C5">
            <w:pPr>
              <w:rPr>
                <w:sz w:val="20"/>
              </w:rPr>
            </w:pPr>
          </w:p>
        </w:tc>
      </w:tr>
      <w:tr w:rsidR="003818D8" w14:paraId="29AF3B7F" w14:textId="77777777">
        <w:trPr>
          <w:gridAfter w:val="1"/>
          <w:wAfter w:w="7" w:type="dxa"/>
          <w:cantSplit/>
        </w:trPr>
        <w:tc>
          <w:tcPr>
            <w:tcW w:w="5868" w:type="dxa"/>
            <w:gridSpan w:val="2"/>
            <w:tcMar>
              <w:left w:w="115" w:type="dxa"/>
              <w:bottom w:w="144" w:type="dxa"/>
              <w:right w:w="115" w:type="dxa"/>
            </w:tcMar>
          </w:tcPr>
          <w:p w14:paraId="006A89C7" w14:textId="6C290AC1" w:rsidR="00AD2C4C" w:rsidRPr="00AD2C4C" w:rsidRDefault="00AD2C4C" w:rsidP="00AD2C4C">
            <w:pPr>
              <w:numPr>
                <w:ilvl w:val="1"/>
                <w:numId w:val="3"/>
              </w:numPr>
              <w:ind w:left="713" w:hanging="360"/>
              <w:rPr>
                <w:b/>
                <w:sz w:val="20"/>
                <w:u w:val="single"/>
              </w:rPr>
            </w:pPr>
            <w:r w:rsidRPr="005A336A">
              <w:rPr>
                <w:sz w:val="20"/>
              </w:rPr>
              <w:t xml:space="preserve">If advance arrangements (e.g., names of personnel who will be given access, identification rules, introduction letter requirements, or other such procedural details) are necessary to allow prompt access to the count room for an observation by the individuals performing the internal audit function, are such arrangements made no later than 90 days after the start of the licensee’s business year?  </w:t>
            </w:r>
            <w:r w:rsidRPr="005A336A">
              <w:rPr>
                <w:b/>
                <w:bCs/>
                <w:sz w:val="20"/>
              </w:rPr>
              <w:t>(</w:t>
            </w:r>
            <w:r w:rsidR="001E000E">
              <w:rPr>
                <w:b/>
                <w:bCs/>
                <w:sz w:val="20"/>
              </w:rPr>
              <w:t>8</w:t>
            </w:r>
            <w:r w:rsidR="00A8130A" w:rsidRPr="005A336A">
              <w:rPr>
                <w:b/>
                <w:bCs/>
                <w:sz w:val="20"/>
              </w:rPr>
              <w:t xml:space="preserve"> of 1</w:t>
            </w:r>
            <w:r w:rsidR="00850460">
              <w:rPr>
                <w:b/>
                <w:bCs/>
                <w:sz w:val="20"/>
              </w:rPr>
              <w:t>5</w:t>
            </w:r>
            <w:r w:rsidRPr="005A336A">
              <w:rPr>
                <w:b/>
                <w:bCs/>
                <w:sz w:val="20"/>
              </w:rPr>
              <w:t>)</w:t>
            </w:r>
            <w:r w:rsidRPr="00AD2C4C">
              <w:rPr>
                <w:b/>
                <w:sz w:val="20"/>
                <w:u w:val="single"/>
              </w:rPr>
              <w:t xml:space="preserve"> </w:t>
            </w:r>
          </w:p>
          <w:p w14:paraId="12344839" w14:textId="77777777" w:rsidR="00AD2C4C" w:rsidRPr="00AD2C4C" w:rsidRDefault="00AD2C4C" w:rsidP="00AD2C4C">
            <w:pPr>
              <w:rPr>
                <w:b/>
                <w:sz w:val="8"/>
                <w:u w:val="single"/>
              </w:rPr>
            </w:pPr>
          </w:p>
          <w:p w14:paraId="7AC37DA2" w14:textId="6052B29E" w:rsidR="003818D8" w:rsidRPr="005A336A" w:rsidRDefault="00AD2C4C" w:rsidP="003C2386">
            <w:pPr>
              <w:ind w:left="720"/>
              <w:rPr>
                <w:sz w:val="20"/>
              </w:rPr>
            </w:pPr>
            <w:r w:rsidRPr="009224AF">
              <w:rPr>
                <w:b/>
                <w:bCs/>
                <w:sz w:val="20"/>
              </w:rPr>
              <w:t>Note:</w:t>
            </w:r>
            <w:r w:rsidRPr="005A336A">
              <w:rPr>
                <w:bCs/>
                <w:sz w:val="20"/>
              </w:rPr>
              <w:t xml:space="preserve">  </w:t>
            </w:r>
            <w:r w:rsidRPr="005A336A">
              <w:rPr>
                <w:sz w:val="20"/>
              </w:rPr>
              <w:t xml:space="preserve">Updates to the arrangements (e.g., personnel updates) should be made on a regular basis (e.g., quarterly).  </w:t>
            </w:r>
            <w:r w:rsidR="00056C40">
              <w:rPr>
                <w:b/>
                <w:bCs/>
                <w:sz w:val="20"/>
              </w:rPr>
              <w:t>(</w:t>
            </w:r>
            <w:r w:rsidR="001E000E">
              <w:rPr>
                <w:b/>
                <w:bCs/>
                <w:sz w:val="20"/>
              </w:rPr>
              <w:t>8</w:t>
            </w:r>
            <w:r w:rsidR="00A8130A" w:rsidRPr="005A336A">
              <w:rPr>
                <w:b/>
                <w:bCs/>
                <w:sz w:val="20"/>
              </w:rPr>
              <w:t xml:space="preserve"> of 1</w:t>
            </w:r>
            <w:r w:rsidR="00850460">
              <w:rPr>
                <w:b/>
                <w:bCs/>
                <w:sz w:val="20"/>
              </w:rPr>
              <w:t>5</w:t>
            </w:r>
            <w:r w:rsidRPr="005A336A">
              <w:rPr>
                <w:b/>
                <w:bCs/>
                <w:sz w:val="20"/>
              </w:rPr>
              <w:t>)</w:t>
            </w:r>
          </w:p>
        </w:tc>
        <w:tc>
          <w:tcPr>
            <w:tcW w:w="720" w:type="dxa"/>
            <w:gridSpan w:val="2"/>
          </w:tcPr>
          <w:p w14:paraId="38B7ADC5" w14:textId="77777777" w:rsidR="003818D8" w:rsidRDefault="003818D8" w:rsidP="00DF10C5">
            <w:pPr>
              <w:rPr>
                <w:sz w:val="20"/>
              </w:rPr>
            </w:pPr>
          </w:p>
        </w:tc>
        <w:tc>
          <w:tcPr>
            <w:tcW w:w="720" w:type="dxa"/>
            <w:gridSpan w:val="2"/>
          </w:tcPr>
          <w:p w14:paraId="79922ED0" w14:textId="77777777" w:rsidR="003818D8" w:rsidRDefault="003818D8" w:rsidP="00DF10C5">
            <w:pPr>
              <w:rPr>
                <w:sz w:val="20"/>
              </w:rPr>
            </w:pPr>
          </w:p>
        </w:tc>
        <w:tc>
          <w:tcPr>
            <w:tcW w:w="720" w:type="dxa"/>
            <w:gridSpan w:val="2"/>
          </w:tcPr>
          <w:p w14:paraId="781AD001" w14:textId="77777777" w:rsidR="003818D8" w:rsidRDefault="003818D8" w:rsidP="00DF10C5">
            <w:pPr>
              <w:rPr>
                <w:sz w:val="20"/>
              </w:rPr>
            </w:pPr>
          </w:p>
        </w:tc>
        <w:tc>
          <w:tcPr>
            <w:tcW w:w="2988" w:type="dxa"/>
            <w:gridSpan w:val="2"/>
          </w:tcPr>
          <w:p w14:paraId="37AAACAD" w14:textId="77777777" w:rsidR="003818D8" w:rsidRDefault="003818D8" w:rsidP="00DF10C5">
            <w:pPr>
              <w:rPr>
                <w:sz w:val="20"/>
              </w:rPr>
            </w:pPr>
          </w:p>
        </w:tc>
      </w:tr>
      <w:tr w:rsidR="00D21E41" w14:paraId="61C77C9A" w14:textId="77777777">
        <w:trPr>
          <w:gridAfter w:val="1"/>
          <w:wAfter w:w="7" w:type="dxa"/>
          <w:cantSplit/>
        </w:trPr>
        <w:tc>
          <w:tcPr>
            <w:tcW w:w="5868" w:type="dxa"/>
            <w:gridSpan w:val="2"/>
            <w:tcMar>
              <w:left w:w="115" w:type="dxa"/>
              <w:bottom w:w="144" w:type="dxa"/>
              <w:right w:w="115" w:type="dxa"/>
            </w:tcMar>
          </w:tcPr>
          <w:p w14:paraId="428A3806" w14:textId="29C907F9" w:rsidR="00D21E41" w:rsidRPr="00D21E41" w:rsidRDefault="00D21E41" w:rsidP="00AD2C4C">
            <w:pPr>
              <w:numPr>
                <w:ilvl w:val="1"/>
                <w:numId w:val="3"/>
              </w:numPr>
              <w:ind w:left="713" w:hanging="360"/>
              <w:rPr>
                <w:b/>
                <w:sz w:val="20"/>
                <w:u w:val="single"/>
              </w:rPr>
            </w:pPr>
            <w:r w:rsidRPr="005A336A">
              <w:rPr>
                <w:sz w:val="20"/>
              </w:rPr>
              <w:lastRenderedPageBreak/>
              <w:t xml:space="preserve">If applicable, are the arrangements made to allow internal auditors access to the count room documented to include the date the arrangement was made, the time period the arrangement is in effect, the procedures to allow internal auditors prompt access to the count room, and the method to ensure proper identification of the internal auditor? </w:t>
            </w:r>
            <w:r w:rsidRPr="005A336A">
              <w:rPr>
                <w:b/>
                <w:sz w:val="20"/>
              </w:rPr>
              <w:t>(</w:t>
            </w:r>
            <w:r w:rsidR="005737FA">
              <w:rPr>
                <w:b/>
                <w:sz w:val="20"/>
              </w:rPr>
              <w:t>7</w:t>
            </w:r>
            <w:r w:rsidR="00A8130A" w:rsidRPr="005A336A">
              <w:rPr>
                <w:b/>
                <w:sz w:val="20"/>
              </w:rPr>
              <w:t xml:space="preserve"> of 1</w:t>
            </w:r>
            <w:r w:rsidR="00850460">
              <w:rPr>
                <w:b/>
                <w:sz w:val="20"/>
              </w:rPr>
              <w:t>5</w:t>
            </w:r>
            <w:r w:rsidRPr="005A336A">
              <w:rPr>
                <w:b/>
                <w:sz w:val="20"/>
              </w:rPr>
              <w:t>)</w:t>
            </w:r>
          </w:p>
        </w:tc>
        <w:tc>
          <w:tcPr>
            <w:tcW w:w="720" w:type="dxa"/>
            <w:gridSpan w:val="2"/>
          </w:tcPr>
          <w:p w14:paraId="4B94238F" w14:textId="77777777" w:rsidR="00D21E41" w:rsidRDefault="00D21E41" w:rsidP="00DF10C5">
            <w:pPr>
              <w:rPr>
                <w:sz w:val="20"/>
              </w:rPr>
            </w:pPr>
          </w:p>
        </w:tc>
        <w:tc>
          <w:tcPr>
            <w:tcW w:w="720" w:type="dxa"/>
            <w:gridSpan w:val="2"/>
          </w:tcPr>
          <w:p w14:paraId="0D24F593" w14:textId="77777777" w:rsidR="00D21E41" w:rsidRDefault="00D21E41" w:rsidP="00DF10C5">
            <w:pPr>
              <w:rPr>
                <w:sz w:val="20"/>
              </w:rPr>
            </w:pPr>
          </w:p>
        </w:tc>
        <w:tc>
          <w:tcPr>
            <w:tcW w:w="720" w:type="dxa"/>
            <w:gridSpan w:val="2"/>
          </w:tcPr>
          <w:p w14:paraId="5DEDCCF6" w14:textId="77777777" w:rsidR="00D21E41" w:rsidRDefault="00D21E41" w:rsidP="00DF10C5">
            <w:pPr>
              <w:rPr>
                <w:sz w:val="20"/>
              </w:rPr>
            </w:pPr>
          </w:p>
        </w:tc>
        <w:tc>
          <w:tcPr>
            <w:tcW w:w="2988" w:type="dxa"/>
            <w:gridSpan w:val="2"/>
          </w:tcPr>
          <w:p w14:paraId="06DCDAED" w14:textId="77777777" w:rsidR="00D21E41" w:rsidRDefault="00D21E41" w:rsidP="00DF10C5">
            <w:pPr>
              <w:rPr>
                <w:sz w:val="20"/>
              </w:rPr>
            </w:pPr>
          </w:p>
        </w:tc>
      </w:tr>
      <w:tr w:rsidR="00D21E41" w14:paraId="5A096ED5" w14:textId="77777777">
        <w:trPr>
          <w:gridAfter w:val="1"/>
          <w:wAfter w:w="7" w:type="dxa"/>
          <w:cantSplit/>
        </w:trPr>
        <w:tc>
          <w:tcPr>
            <w:tcW w:w="5868" w:type="dxa"/>
            <w:gridSpan w:val="2"/>
            <w:tcMar>
              <w:left w:w="115" w:type="dxa"/>
              <w:bottom w:w="144" w:type="dxa"/>
              <w:right w:w="115" w:type="dxa"/>
            </w:tcMar>
          </w:tcPr>
          <w:p w14:paraId="3D041D3A" w14:textId="204394EE" w:rsidR="00D21E41" w:rsidRPr="00D21E41" w:rsidRDefault="00D21E41" w:rsidP="003C2386">
            <w:pPr>
              <w:numPr>
                <w:ilvl w:val="1"/>
                <w:numId w:val="3"/>
              </w:numPr>
              <w:ind w:left="713" w:hanging="360"/>
              <w:rPr>
                <w:b/>
                <w:sz w:val="20"/>
                <w:u w:val="single"/>
              </w:rPr>
            </w:pPr>
            <w:r w:rsidRPr="005A336A">
              <w:rPr>
                <w:sz w:val="20"/>
              </w:rPr>
              <w:t xml:space="preserve">If count observations are performed using live surveillance equipment and the auditor changes </w:t>
            </w:r>
            <w:r w:rsidR="008E0C4A" w:rsidRPr="005A336A">
              <w:rPr>
                <w:sz w:val="20"/>
              </w:rPr>
              <w:t xml:space="preserve">viewing </w:t>
            </w:r>
            <w:r w:rsidRPr="005A336A">
              <w:rPr>
                <w:sz w:val="20"/>
              </w:rPr>
              <w:t xml:space="preserve">locations (i.e., from the count room to the surveillance room), does the auditor view the tapes for the time period during which the auditor was in transit?  </w:t>
            </w:r>
            <w:r w:rsidRPr="005A336A">
              <w:rPr>
                <w:b/>
                <w:sz w:val="20"/>
              </w:rPr>
              <w:t>(</w:t>
            </w:r>
            <w:r w:rsidR="005737FA">
              <w:rPr>
                <w:b/>
                <w:sz w:val="20"/>
              </w:rPr>
              <w:t>7</w:t>
            </w:r>
            <w:r w:rsidR="00A8130A" w:rsidRPr="005A336A">
              <w:rPr>
                <w:b/>
                <w:sz w:val="20"/>
              </w:rPr>
              <w:t xml:space="preserve"> of 1</w:t>
            </w:r>
            <w:r w:rsidR="00850460">
              <w:rPr>
                <w:b/>
                <w:sz w:val="20"/>
              </w:rPr>
              <w:t>5</w:t>
            </w:r>
            <w:r w:rsidR="008E0C4A" w:rsidRPr="005A336A">
              <w:rPr>
                <w:b/>
                <w:sz w:val="20"/>
              </w:rPr>
              <w:t>)</w:t>
            </w:r>
          </w:p>
        </w:tc>
        <w:tc>
          <w:tcPr>
            <w:tcW w:w="720" w:type="dxa"/>
            <w:gridSpan w:val="2"/>
          </w:tcPr>
          <w:p w14:paraId="61E20885" w14:textId="77777777" w:rsidR="00D21E41" w:rsidRDefault="00D21E41" w:rsidP="00DF10C5">
            <w:pPr>
              <w:rPr>
                <w:sz w:val="20"/>
              </w:rPr>
            </w:pPr>
          </w:p>
        </w:tc>
        <w:tc>
          <w:tcPr>
            <w:tcW w:w="720" w:type="dxa"/>
            <w:gridSpan w:val="2"/>
          </w:tcPr>
          <w:p w14:paraId="376DB6FA" w14:textId="77777777" w:rsidR="00D21E41" w:rsidRDefault="00D21E41" w:rsidP="00DF10C5">
            <w:pPr>
              <w:rPr>
                <w:sz w:val="20"/>
              </w:rPr>
            </w:pPr>
          </w:p>
        </w:tc>
        <w:tc>
          <w:tcPr>
            <w:tcW w:w="720" w:type="dxa"/>
            <w:gridSpan w:val="2"/>
          </w:tcPr>
          <w:p w14:paraId="07115470" w14:textId="77777777" w:rsidR="00D21E41" w:rsidRDefault="00D21E41" w:rsidP="00DF10C5">
            <w:pPr>
              <w:rPr>
                <w:sz w:val="20"/>
              </w:rPr>
            </w:pPr>
          </w:p>
        </w:tc>
        <w:tc>
          <w:tcPr>
            <w:tcW w:w="2988" w:type="dxa"/>
            <w:gridSpan w:val="2"/>
          </w:tcPr>
          <w:p w14:paraId="3EE10855" w14:textId="77777777" w:rsidR="00D21E41" w:rsidRDefault="00D21E41" w:rsidP="00DF10C5">
            <w:pPr>
              <w:rPr>
                <w:sz w:val="20"/>
              </w:rPr>
            </w:pPr>
          </w:p>
        </w:tc>
      </w:tr>
      <w:tr w:rsidR="008E0C4A" w14:paraId="361EC778" w14:textId="77777777">
        <w:trPr>
          <w:gridAfter w:val="1"/>
          <w:wAfter w:w="7" w:type="dxa"/>
          <w:cantSplit/>
        </w:trPr>
        <w:tc>
          <w:tcPr>
            <w:tcW w:w="5868" w:type="dxa"/>
            <w:gridSpan w:val="2"/>
            <w:tcMar>
              <w:left w:w="115" w:type="dxa"/>
              <w:bottom w:w="144" w:type="dxa"/>
              <w:right w:w="115" w:type="dxa"/>
            </w:tcMar>
          </w:tcPr>
          <w:p w14:paraId="36EDC5EF" w14:textId="77777777" w:rsidR="008E0C4A" w:rsidRPr="005A336A" w:rsidRDefault="008E0C4A" w:rsidP="00AD2C4C">
            <w:pPr>
              <w:numPr>
                <w:ilvl w:val="1"/>
                <w:numId w:val="3"/>
              </w:numPr>
              <w:ind w:left="713" w:hanging="360"/>
              <w:rPr>
                <w:sz w:val="20"/>
              </w:rPr>
            </w:pPr>
            <w:r w:rsidRPr="005A336A">
              <w:rPr>
                <w:sz w:val="20"/>
              </w:rPr>
              <w:t>If the same CPA performs both the internal audit procedures and the Regulation 6.090(9) CPA procedures, are the following guidelines adhered to:</w:t>
            </w:r>
          </w:p>
        </w:tc>
        <w:tc>
          <w:tcPr>
            <w:tcW w:w="720" w:type="dxa"/>
            <w:gridSpan w:val="2"/>
          </w:tcPr>
          <w:p w14:paraId="5ACF3285" w14:textId="77777777" w:rsidR="008E0C4A" w:rsidRDefault="008E0C4A" w:rsidP="00DF10C5">
            <w:pPr>
              <w:rPr>
                <w:sz w:val="20"/>
              </w:rPr>
            </w:pPr>
          </w:p>
        </w:tc>
        <w:tc>
          <w:tcPr>
            <w:tcW w:w="720" w:type="dxa"/>
            <w:gridSpan w:val="2"/>
          </w:tcPr>
          <w:p w14:paraId="59D20A35" w14:textId="77777777" w:rsidR="008E0C4A" w:rsidRDefault="008E0C4A" w:rsidP="00DF10C5">
            <w:pPr>
              <w:rPr>
                <w:sz w:val="20"/>
              </w:rPr>
            </w:pPr>
          </w:p>
        </w:tc>
        <w:tc>
          <w:tcPr>
            <w:tcW w:w="720" w:type="dxa"/>
            <w:gridSpan w:val="2"/>
          </w:tcPr>
          <w:p w14:paraId="69DE70B0" w14:textId="77777777" w:rsidR="008E0C4A" w:rsidRDefault="008E0C4A" w:rsidP="00DF10C5">
            <w:pPr>
              <w:rPr>
                <w:sz w:val="20"/>
              </w:rPr>
            </w:pPr>
          </w:p>
        </w:tc>
        <w:tc>
          <w:tcPr>
            <w:tcW w:w="2988" w:type="dxa"/>
            <w:gridSpan w:val="2"/>
          </w:tcPr>
          <w:p w14:paraId="1595FD30" w14:textId="77777777" w:rsidR="008E0C4A" w:rsidRDefault="008E0C4A" w:rsidP="00DF10C5">
            <w:pPr>
              <w:rPr>
                <w:sz w:val="20"/>
              </w:rPr>
            </w:pPr>
          </w:p>
        </w:tc>
      </w:tr>
      <w:tr w:rsidR="008E0C4A" w14:paraId="15BCB6D1" w14:textId="77777777">
        <w:trPr>
          <w:gridAfter w:val="1"/>
          <w:wAfter w:w="7" w:type="dxa"/>
          <w:cantSplit/>
        </w:trPr>
        <w:tc>
          <w:tcPr>
            <w:tcW w:w="5868" w:type="dxa"/>
            <w:gridSpan w:val="2"/>
            <w:tcMar>
              <w:left w:w="115" w:type="dxa"/>
              <w:bottom w:w="144" w:type="dxa"/>
              <w:right w:w="115" w:type="dxa"/>
            </w:tcMar>
          </w:tcPr>
          <w:p w14:paraId="55D726CD" w14:textId="4CF3C3EE" w:rsidR="008E0C4A" w:rsidRPr="008E0C4A" w:rsidRDefault="008E0C4A" w:rsidP="005B1D55">
            <w:pPr>
              <w:numPr>
                <w:ilvl w:val="2"/>
                <w:numId w:val="3"/>
              </w:numPr>
              <w:ind w:left="1080" w:hanging="360"/>
              <w:rPr>
                <w:b/>
                <w:sz w:val="20"/>
                <w:u w:val="single"/>
              </w:rPr>
            </w:pPr>
            <w:r w:rsidRPr="005A336A">
              <w:rPr>
                <w:sz w:val="20"/>
              </w:rPr>
              <w:t>Are the required observations of the hard, soft and currency acceptor drop/count procedures separately performed to satisfy both the Internal Audit MICS and the CPA procedures?</w:t>
            </w:r>
            <w:r w:rsidR="00056C40">
              <w:rPr>
                <w:b/>
                <w:sz w:val="20"/>
              </w:rPr>
              <w:t xml:space="preserve">  (2</w:t>
            </w:r>
            <w:r w:rsidR="00A8130A" w:rsidRPr="005A336A">
              <w:rPr>
                <w:b/>
                <w:sz w:val="20"/>
              </w:rPr>
              <w:t xml:space="preserve"> </w:t>
            </w:r>
            <w:r w:rsidR="007F0F60">
              <w:rPr>
                <w:b/>
                <w:sz w:val="20"/>
              </w:rPr>
              <w:t xml:space="preserve">– 3 </w:t>
            </w:r>
            <w:r w:rsidR="00A8130A" w:rsidRPr="005A336A">
              <w:rPr>
                <w:b/>
                <w:sz w:val="20"/>
              </w:rPr>
              <w:t>of 1</w:t>
            </w:r>
            <w:r w:rsidR="00850460">
              <w:rPr>
                <w:b/>
                <w:sz w:val="20"/>
              </w:rPr>
              <w:t>5</w:t>
            </w:r>
            <w:r w:rsidR="00104458" w:rsidRPr="005A336A">
              <w:rPr>
                <w:b/>
                <w:sz w:val="20"/>
              </w:rPr>
              <w:t>)</w:t>
            </w:r>
          </w:p>
        </w:tc>
        <w:tc>
          <w:tcPr>
            <w:tcW w:w="720" w:type="dxa"/>
            <w:gridSpan w:val="2"/>
          </w:tcPr>
          <w:p w14:paraId="39F86901" w14:textId="77777777" w:rsidR="008E0C4A" w:rsidRDefault="008E0C4A" w:rsidP="00DF10C5">
            <w:pPr>
              <w:rPr>
                <w:sz w:val="20"/>
              </w:rPr>
            </w:pPr>
          </w:p>
        </w:tc>
        <w:tc>
          <w:tcPr>
            <w:tcW w:w="720" w:type="dxa"/>
            <w:gridSpan w:val="2"/>
          </w:tcPr>
          <w:p w14:paraId="09E11FBC" w14:textId="77777777" w:rsidR="008E0C4A" w:rsidRDefault="008E0C4A" w:rsidP="00DF10C5">
            <w:pPr>
              <w:rPr>
                <w:sz w:val="20"/>
              </w:rPr>
            </w:pPr>
          </w:p>
        </w:tc>
        <w:tc>
          <w:tcPr>
            <w:tcW w:w="720" w:type="dxa"/>
            <w:gridSpan w:val="2"/>
          </w:tcPr>
          <w:p w14:paraId="1C8B3701" w14:textId="77777777" w:rsidR="008E0C4A" w:rsidRDefault="008E0C4A" w:rsidP="00DF10C5">
            <w:pPr>
              <w:rPr>
                <w:sz w:val="20"/>
              </w:rPr>
            </w:pPr>
          </w:p>
        </w:tc>
        <w:tc>
          <w:tcPr>
            <w:tcW w:w="2988" w:type="dxa"/>
            <w:gridSpan w:val="2"/>
          </w:tcPr>
          <w:p w14:paraId="23C9F4B0" w14:textId="77777777" w:rsidR="008E0C4A" w:rsidRDefault="008E0C4A" w:rsidP="00DF10C5">
            <w:pPr>
              <w:rPr>
                <w:sz w:val="20"/>
              </w:rPr>
            </w:pPr>
          </w:p>
        </w:tc>
      </w:tr>
      <w:tr w:rsidR="00104458" w14:paraId="09B3105D" w14:textId="77777777">
        <w:trPr>
          <w:gridAfter w:val="1"/>
          <w:wAfter w:w="7" w:type="dxa"/>
          <w:cantSplit/>
        </w:trPr>
        <w:tc>
          <w:tcPr>
            <w:tcW w:w="5868" w:type="dxa"/>
            <w:gridSpan w:val="2"/>
            <w:tcMar>
              <w:left w:w="115" w:type="dxa"/>
              <w:bottom w:w="144" w:type="dxa"/>
              <w:right w:w="115" w:type="dxa"/>
            </w:tcMar>
          </w:tcPr>
          <w:p w14:paraId="03BE3038" w14:textId="10CAB235" w:rsidR="00104458" w:rsidRPr="00104458" w:rsidRDefault="00104458" w:rsidP="008E0C4A">
            <w:pPr>
              <w:numPr>
                <w:ilvl w:val="2"/>
                <w:numId w:val="3"/>
              </w:numPr>
              <w:ind w:left="1080" w:hanging="360"/>
              <w:rPr>
                <w:b/>
                <w:sz w:val="20"/>
                <w:u w:val="single"/>
              </w:rPr>
            </w:pPr>
            <w:r w:rsidRPr="005A336A">
              <w:rPr>
                <w:sz w:val="20"/>
              </w:rPr>
              <w:t xml:space="preserve">Are the individuals that perform the internal audit procedures precluded from performing the Regulation 6.090(9) CPA drop and count procedures?  </w:t>
            </w:r>
            <w:r w:rsidR="00056C40">
              <w:rPr>
                <w:b/>
                <w:sz w:val="20"/>
              </w:rPr>
              <w:t>(</w:t>
            </w:r>
            <w:r w:rsidR="007F0F60">
              <w:rPr>
                <w:b/>
                <w:sz w:val="20"/>
              </w:rPr>
              <w:t>3</w:t>
            </w:r>
            <w:r w:rsidR="00A8130A" w:rsidRPr="005A336A">
              <w:rPr>
                <w:b/>
                <w:sz w:val="20"/>
              </w:rPr>
              <w:t xml:space="preserve"> of 1</w:t>
            </w:r>
            <w:r w:rsidR="00850460">
              <w:rPr>
                <w:b/>
                <w:sz w:val="20"/>
              </w:rPr>
              <w:t>5</w:t>
            </w:r>
            <w:r w:rsidRPr="005A336A">
              <w:rPr>
                <w:b/>
                <w:sz w:val="20"/>
              </w:rPr>
              <w:t>)</w:t>
            </w:r>
          </w:p>
        </w:tc>
        <w:tc>
          <w:tcPr>
            <w:tcW w:w="720" w:type="dxa"/>
            <w:gridSpan w:val="2"/>
          </w:tcPr>
          <w:p w14:paraId="324C81FA" w14:textId="77777777" w:rsidR="00104458" w:rsidRDefault="00104458" w:rsidP="00DF10C5">
            <w:pPr>
              <w:rPr>
                <w:sz w:val="20"/>
              </w:rPr>
            </w:pPr>
          </w:p>
        </w:tc>
        <w:tc>
          <w:tcPr>
            <w:tcW w:w="720" w:type="dxa"/>
            <w:gridSpan w:val="2"/>
          </w:tcPr>
          <w:p w14:paraId="3C231F0D" w14:textId="77777777" w:rsidR="00104458" w:rsidRDefault="00104458" w:rsidP="00DF10C5">
            <w:pPr>
              <w:rPr>
                <w:sz w:val="20"/>
              </w:rPr>
            </w:pPr>
          </w:p>
        </w:tc>
        <w:tc>
          <w:tcPr>
            <w:tcW w:w="720" w:type="dxa"/>
            <w:gridSpan w:val="2"/>
          </w:tcPr>
          <w:p w14:paraId="2A6AF749" w14:textId="77777777" w:rsidR="00104458" w:rsidRDefault="00104458" w:rsidP="00DF10C5">
            <w:pPr>
              <w:rPr>
                <w:sz w:val="20"/>
              </w:rPr>
            </w:pPr>
          </w:p>
        </w:tc>
        <w:tc>
          <w:tcPr>
            <w:tcW w:w="2988" w:type="dxa"/>
            <w:gridSpan w:val="2"/>
          </w:tcPr>
          <w:p w14:paraId="649D82E2" w14:textId="77777777" w:rsidR="00104458" w:rsidRDefault="00104458" w:rsidP="00DF10C5">
            <w:pPr>
              <w:rPr>
                <w:sz w:val="20"/>
              </w:rPr>
            </w:pPr>
          </w:p>
        </w:tc>
      </w:tr>
      <w:tr w:rsidR="00387990" w14:paraId="72D5B70E" w14:textId="77777777">
        <w:trPr>
          <w:gridBefore w:val="1"/>
          <w:wBefore w:w="7" w:type="dxa"/>
          <w:cantSplit/>
        </w:trPr>
        <w:tc>
          <w:tcPr>
            <w:tcW w:w="5868" w:type="dxa"/>
            <w:gridSpan w:val="2"/>
            <w:tcMar>
              <w:left w:w="115" w:type="dxa"/>
              <w:bottom w:w="144" w:type="dxa"/>
              <w:right w:w="115" w:type="dxa"/>
            </w:tcMar>
          </w:tcPr>
          <w:p w14:paraId="358787B8" w14:textId="6FE9D44C" w:rsidR="00387990" w:rsidRDefault="00387990">
            <w:pPr>
              <w:numPr>
                <w:ilvl w:val="0"/>
                <w:numId w:val="3"/>
              </w:numPr>
              <w:rPr>
                <w:sz w:val="20"/>
              </w:rPr>
            </w:pPr>
            <w:r>
              <w:rPr>
                <w:sz w:val="20"/>
              </w:rPr>
              <w:t xml:space="preserve">Is documentation (e.g., checklists, audit programs, reports, etc.) prepared to evidence all internal audit work performed as it relates to these requirements?  </w:t>
            </w:r>
            <w:r w:rsidR="00DE0A00">
              <w:rPr>
                <w:b/>
                <w:bCs/>
                <w:sz w:val="20"/>
              </w:rPr>
              <w:t>(</w:t>
            </w:r>
            <w:r w:rsidR="007F0F60">
              <w:rPr>
                <w:b/>
                <w:bCs/>
                <w:sz w:val="20"/>
              </w:rPr>
              <w:t>7</w:t>
            </w:r>
            <w:r w:rsidR="00DE0A00">
              <w:rPr>
                <w:b/>
                <w:bCs/>
                <w:sz w:val="20"/>
              </w:rPr>
              <w:t xml:space="preserve"> </w:t>
            </w:r>
            <w:r w:rsidR="00A8130A">
              <w:rPr>
                <w:b/>
                <w:bCs/>
                <w:sz w:val="20"/>
              </w:rPr>
              <w:t>–</w:t>
            </w:r>
            <w:r w:rsidR="00DE0A00">
              <w:rPr>
                <w:b/>
                <w:bCs/>
                <w:sz w:val="20"/>
              </w:rPr>
              <w:t xml:space="preserve"> </w:t>
            </w:r>
            <w:r w:rsidR="007F0F60">
              <w:rPr>
                <w:b/>
                <w:bCs/>
                <w:sz w:val="20"/>
              </w:rPr>
              <w:t>9</w:t>
            </w:r>
            <w:r w:rsidR="00A8130A">
              <w:rPr>
                <w:b/>
                <w:bCs/>
                <w:sz w:val="20"/>
              </w:rPr>
              <w:t xml:space="preserve"> of 1</w:t>
            </w:r>
            <w:r w:rsidR="00850460">
              <w:rPr>
                <w:b/>
                <w:bCs/>
                <w:sz w:val="20"/>
              </w:rPr>
              <w:t>5</w:t>
            </w:r>
            <w:r>
              <w:rPr>
                <w:b/>
                <w:bCs/>
                <w:sz w:val="20"/>
              </w:rPr>
              <w:t>)  Verify by examination.</w:t>
            </w:r>
          </w:p>
          <w:p w14:paraId="2B6E5FB5" w14:textId="77777777" w:rsidR="00387990" w:rsidRDefault="00387990">
            <w:pPr>
              <w:rPr>
                <w:sz w:val="20"/>
              </w:rPr>
            </w:pPr>
          </w:p>
          <w:p w14:paraId="445A6FA1" w14:textId="77777777" w:rsidR="00387990" w:rsidRPr="009224AF" w:rsidRDefault="00387990" w:rsidP="009224AF">
            <w:pPr>
              <w:ind w:left="353"/>
              <w:rPr>
                <w:b/>
                <w:bCs/>
                <w:sz w:val="20"/>
              </w:rPr>
            </w:pPr>
            <w:r>
              <w:rPr>
                <w:b/>
                <w:bCs/>
                <w:sz w:val="20"/>
              </w:rPr>
              <w:t>Note:  During the examination of internal audit workpapers, the CPA should determine that audit evidence exists to demonstrate the performance of document testing requirements by internal audit.</w:t>
            </w:r>
          </w:p>
        </w:tc>
        <w:tc>
          <w:tcPr>
            <w:tcW w:w="720" w:type="dxa"/>
            <w:gridSpan w:val="2"/>
          </w:tcPr>
          <w:p w14:paraId="5C795B43" w14:textId="77777777" w:rsidR="00387990" w:rsidRDefault="00387990">
            <w:pPr>
              <w:rPr>
                <w:sz w:val="20"/>
              </w:rPr>
            </w:pPr>
          </w:p>
        </w:tc>
        <w:tc>
          <w:tcPr>
            <w:tcW w:w="720" w:type="dxa"/>
            <w:gridSpan w:val="2"/>
          </w:tcPr>
          <w:p w14:paraId="36AF0922" w14:textId="77777777" w:rsidR="00387990" w:rsidRDefault="00387990">
            <w:pPr>
              <w:rPr>
                <w:sz w:val="20"/>
              </w:rPr>
            </w:pPr>
          </w:p>
        </w:tc>
        <w:tc>
          <w:tcPr>
            <w:tcW w:w="720" w:type="dxa"/>
            <w:gridSpan w:val="2"/>
          </w:tcPr>
          <w:p w14:paraId="73FE377D" w14:textId="77777777" w:rsidR="00387990" w:rsidRDefault="00387990">
            <w:pPr>
              <w:rPr>
                <w:sz w:val="20"/>
              </w:rPr>
            </w:pPr>
          </w:p>
        </w:tc>
        <w:tc>
          <w:tcPr>
            <w:tcW w:w="2988" w:type="dxa"/>
            <w:gridSpan w:val="2"/>
          </w:tcPr>
          <w:p w14:paraId="7AA3A3F4" w14:textId="77777777" w:rsidR="00387990" w:rsidRDefault="00387990">
            <w:pPr>
              <w:rPr>
                <w:sz w:val="20"/>
              </w:rPr>
            </w:pPr>
          </w:p>
        </w:tc>
      </w:tr>
      <w:tr w:rsidR="007955F9" w14:paraId="215B5DD6" w14:textId="77777777">
        <w:trPr>
          <w:gridBefore w:val="1"/>
          <w:wBefore w:w="7" w:type="dxa"/>
          <w:cantSplit/>
        </w:trPr>
        <w:tc>
          <w:tcPr>
            <w:tcW w:w="5868" w:type="dxa"/>
            <w:gridSpan w:val="2"/>
            <w:tcMar>
              <w:left w:w="115" w:type="dxa"/>
              <w:bottom w:w="144" w:type="dxa"/>
              <w:right w:w="115" w:type="dxa"/>
            </w:tcMar>
          </w:tcPr>
          <w:p w14:paraId="0BDC9830" w14:textId="5BB52E26" w:rsidR="007955F9" w:rsidRDefault="009252B3">
            <w:pPr>
              <w:numPr>
                <w:ilvl w:val="0"/>
                <w:numId w:val="3"/>
              </w:numPr>
              <w:rPr>
                <w:b/>
                <w:sz w:val="20"/>
                <w:u w:val="single"/>
              </w:rPr>
            </w:pPr>
            <w:r w:rsidRPr="005A336A">
              <w:rPr>
                <w:sz w:val="20"/>
              </w:rPr>
              <w:t>For the compliance testing procedures of various documents required by the CPA MICS Compliance Checklists and the Internal Audit Compliance Testing Procedures Checklists, do the checklists and/or back-up workpapers include documentation of the original document examined by either explicitly identifying the form(s) (e.g., document # of the slot jackpot form) examined or including a copy of the document(s) examined?</w:t>
            </w:r>
            <w:r w:rsidR="00D90B88" w:rsidRPr="005A336A">
              <w:rPr>
                <w:b/>
                <w:sz w:val="20"/>
              </w:rPr>
              <w:t xml:space="preserve"> (8</w:t>
            </w:r>
            <w:r w:rsidR="00A8130A" w:rsidRPr="005A336A">
              <w:rPr>
                <w:b/>
                <w:sz w:val="20"/>
              </w:rPr>
              <w:t xml:space="preserve"> of 1</w:t>
            </w:r>
            <w:r w:rsidR="00850460">
              <w:rPr>
                <w:b/>
                <w:sz w:val="20"/>
              </w:rPr>
              <w:t>5</w:t>
            </w:r>
            <w:r w:rsidR="00D90B88" w:rsidRPr="005A336A">
              <w:rPr>
                <w:b/>
                <w:sz w:val="20"/>
              </w:rPr>
              <w:t>)</w:t>
            </w:r>
          </w:p>
          <w:p w14:paraId="28C725E8" w14:textId="77777777" w:rsidR="00D90B88" w:rsidRDefault="00D90B88" w:rsidP="00D90B88">
            <w:pPr>
              <w:rPr>
                <w:b/>
                <w:sz w:val="20"/>
                <w:u w:val="single"/>
              </w:rPr>
            </w:pPr>
          </w:p>
          <w:p w14:paraId="7B05FF28" w14:textId="50B850C7" w:rsidR="00D90B88" w:rsidRPr="005A336A" w:rsidRDefault="00D90B88" w:rsidP="00D90B88">
            <w:pPr>
              <w:ind w:left="353"/>
              <w:rPr>
                <w:sz w:val="20"/>
                <w:szCs w:val="20"/>
              </w:rPr>
            </w:pPr>
            <w:r w:rsidRPr="009224AF">
              <w:rPr>
                <w:b/>
                <w:sz w:val="20"/>
                <w:szCs w:val="20"/>
              </w:rPr>
              <w:t>Note:</w:t>
            </w:r>
            <w:r w:rsidRPr="005A336A">
              <w:rPr>
                <w:sz w:val="20"/>
                <w:szCs w:val="20"/>
              </w:rPr>
              <w:t xml:space="preserve">  An original document is the document maintained pursuant to Regulation 6.060 which may be an original document scanned or directly stored to unalterable media (secured to preclude alteration) as approved by the Board.  </w:t>
            </w:r>
            <w:r w:rsidRPr="005A336A">
              <w:rPr>
                <w:b/>
                <w:sz w:val="20"/>
                <w:szCs w:val="20"/>
              </w:rPr>
              <w:t>(</w:t>
            </w:r>
            <w:r w:rsidR="00F7296F">
              <w:rPr>
                <w:b/>
                <w:sz w:val="20"/>
                <w:szCs w:val="20"/>
              </w:rPr>
              <w:t>8</w:t>
            </w:r>
            <w:r w:rsidR="00A8130A" w:rsidRPr="005A336A">
              <w:rPr>
                <w:b/>
                <w:sz w:val="20"/>
                <w:szCs w:val="20"/>
              </w:rPr>
              <w:t xml:space="preserve"> of 1</w:t>
            </w:r>
            <w:r w:rsidR="00850460">
              <w:rPr>
                <w:b/>
                <w:sz w:val="20"/>
                <w:szCs w:val="20"/>
              </w:rPr>
              <w:t>5</w:t>
            </w:r>
            <w:r w:rsidRPr="005A336A">
              <w:rPr>
                <w:b/>
                <w:sz w:val="20"/>
                <w:szCs w:val="20"/>
              </w:rPr>
              <w:t>)</w:t>
            </w:r>
          </w:p>
        </w:tc>
        <w:tc>
          <w:tcPr>
            <w:tcW w:w="720" w:type="dxa"/>
            <w:gridSpan w:val="2"/>
          </w:tcPr>
          <w:p w14:paraId="301AA57B" w14:textId="77777777" w:rsidR="007955F9" w:rsidRDefault="007955F9">
            <w:pPr>
              <w:rPr>
                <w:sz w:val="20"/>
              </w:rPr>
            </w:pPr>
          </w:p>
        </w:tc>
        <w:tc>
          <w:tcPr>
            <w:tcW w:w="720" w:type="dxa"/>
            <w:gridSpan w:val="2"/>
          </w:tcPr>
          <w:p w14:paraId="094B3495" w14:textId="77777777" w:rsidR="007955F9" w:rsidRDefault="007955F9">
            <w:pPr>
              <w:rPr>
                <w:sz w:val="20"/>
              </w:rPr>
            </w:pPr>
          </w:p>
        </w:tc>
        <w:tc>
          <w:tcPr>
            <w:tcW w:w="720" w:type="dxa"/>
            <w:gridSpan w:val="2"/>
          </w:tcPr>
          <w:p w14:paraId="252CE3E4" w14:textId="77777777" w:rsidR="007955F9" w:rsidRDefault="007955F9">
            <w:pPr>
              <w:rPr>
                <w:sz w:val="20"/>
              </w:rPr>
            </w:pPr>
          </w:p>
        </w:tc>
        <w:tc>
          <w:tcPr>
            <w:tcW w:w="2988" w:type="dxa"/>
            <w:gridSpan w:val="2"/>
          </w:tcPr>
          <w:p w14:paraId="462F584D" w14:textId="77777777" w:rsidR="007955F9" w:rsidRDefault="007955F9">
            <w:pPr>
              <w:rPr>
                <w:sz w:val="20"/>
              </w:rPr>
            </w:pPr>
          </w:p>
        </w:tc>
      </w:tr>
      <w:tr w:rsidR="00387990" w14:paraId="169843BB" w14:textId="77777777">
        <w:trPr>
          <w:gridBefore w:val="1"/>
          <w:wBefore w:w="7" w:type="dxa"/>
          <w:cantSplit/>
        </w:trPr>
        <w:tc>
          <w:tcPr>
            <w:tcW w:w="5868" w:type="dxa"/>
            <w:gridSpan w:val="2"/>
            <w:tcMar>
              <w:left w:w="115" w:type="dxa"/>
              <w:bottom w:w="144" w:type="dxa"/>
              <w:right w:w="115" w:type="dxa"/>
            </w:tcMar>
          </w:tcPr>
          <w:p w14:paraId="5BB9706D" w14:textId="77777777" w:rsidR="00387990" w:rsidRPr="005437D9" w:rsidRDefault="00387990" w:rsidP="003C2386">
            <w:pPr>
              <w:numPr>
                <w:ilvl w:val="0"/>
                <w:numId w:val="3"/>
              </w:numPr>
              <w:rPr>
                <w:sz w:val="20"/>
              </w:rPr>
            </w:pPr>
            <w:r>
              <w:rPr>
                <w:sz w:val="20"/>
              </w:rPr>
              <w:lastRenderedPageBreak/>
              <w:t xml:space="preserve">Are the results of internal audit work reported to the audit committee, if applicable, senior management (i.e., to a level higher than the controller), or to ownership personnel who are independent of the departments under audit?  </w:t>
            </w:r>
            <w:r>
              <w:rPr>
                <w:b/>
                <w:bCs/>
                <w:sz w:val="20"/>
              </w:rPr>
              <w:t>(</w:t>
            </w:r>
            <w:r w:rsidR="00172994">
              <w:rPr>
                <w:b/>
                <w:bCs/>
                <w:sz w:val="20"/>
                <w:szCs w:val="20"/>
              </w:rPr>
              <w:t>9</w:t>
            </w:r>
            <w:r w:rsidR="00363EF2" w:rsidRPr="005A336A">
              <w:rPr>
                <w:b/>
                <w:bCs/>
                <w:sz w:val="20"/>
                <w:szCs w:val="20"/>
              </w:rPr>
              <w:t xml:space="preserve"> of 1</w:t>
            </w:r>
            <w:r w:rsidR="00850460">
              <w:rPr>
                <w:b/>
                <w:bCs/>
                <w:sz w:val="20"/>
                <w:szCs w:val="20"/>
              </w:rPr>
              <w:t>5</w:t>
            </w:r>
            <w:r w:rsidR="00DE0A00" w:rsidRPr="00DE0A00">
              <w:rPr>
                <w:b/>
                <w:bCs/>
                <w:sz w:val="20"/>
                <w:szCs w:val="20"/>
              </w:rPr>
              <w:t>)</w:t>
            </w:r>
            <w:r w:rsidRPr="00DE0A00">
              <w:t xml:space="preserve">  </w:t>
            </w:r>
            <w:r>
              <w:rPr>
                <w:b/>
                <w:bCs/>
                <w:sz w:val="20"/>
              </w:rPr>
              <w:t>Examine the licensee’s reports or other evidence that the results were communicated.  Indicate the manner in which results are communicated and to whom the results are presented.</w:t>
            </w:r>
          </w:p>
          <w:p w14:paraId="492BA8BE" w14:textId="662605CD" w:rsidR="005437D9" w:rsidRDefault="005437D9" w:rsidP="005437D9">
            <w:pPr>
              <w:ind w:left="360"/>
              <w:rPr>
                <w:sz w:val="20"/>
              </w:rPr>
            </w:pPr>
          </w:p>
        </w:tc>
        <w:tc>
          <w:tcPr>
            <w:tcW w:w="720" w:type="dxa"/>
            <w:gridSpan w:val="2"/>
          </w:tcPr>
          <w:p w14:paraId="2AF55E3C" w14:textId="77777777" w:rsidR="00387990" w:rsidRDefault="00387990">
            <w:pPr>
              <w:rPr>
                <w:sz w:val="20"/>
              </w:rPr>
            </w:pPr>
          </w:p>
        </w:tc>
        <w:tc>
          <w:tcPr>
            <w:tcW w:w="720" w:type="dxa"/>
            <w:gridSpan w:val="2"/>
          </w:tcPr>
          <w:p w14:paraId="222CFC24" w14:textId="77777777" w:rsidR="00387990" w:rsidRDefault="00387990">
            <w:pPr>
              <w:rPr>
                <w:sz w:val="20"/>
              </w:rPr>
            </w:pPr>
          </w:p>
        </w:tc>
        <w:tc>
          <w:tcPr>
            <w:tcW w:w="720" w:type="dxa"/>
            <w:gridSpan w:val="2"/>
          </w:tcPr>
          <w:p w14:paraId="32D1AA79" w14:textId="77777777" w:rsidR="00387990" w:rsidRDefault="00387990">
            <w:pPr>
              <w:rPr>
                <w:sz w:val="20"/>
              </w:rPr>
            </w:pPr>
          </w:p>
        </w:tc>
        <w:tc>
          <w:tcPr>
            <w:tcW w:w="2988" w:type="dxa"/>
            <w:gridSpan w:val="2"/>
          </w:tcPr>
          <w:p w14:paraId="3085C30B" w14:textId="77777777" w:rsidR="00387990" w:rsidRDefault="00387990">
            <w:pPr>
              <w:rPr>
                <w:sz w:val="20"/>
              </w:rPr>
            </w:pPr>
          </w:p>
        </w:tc>
      </w:tr>
      <w:tr w:rsidR="00387990" w14:paraId="32C3FBC2" w14:textId="77777777">
        <w:trPr>
          <w:gridBefore w:val="1"/>
          <w:wBefore w:w="7" w:type="dxa"/>
          <w:cantSplit/>
        </w:trPr>
        <w:tc>
          <w:tcPr>
            <w:tcW w:w="5868" w:type="dxa"/>
            <w:gridSpan w:val="2"/>
            <w:tcMar>
              <w:left w:w="115" w:type="dxa"/>
              <w:bottom w:w="144" w:type="dxa"/>
              <w:right w:w="115" w:type="dxa"/>
            </w:tcMar>
          </w:tcPr>
          <w:p w14:paraId="46FA71D9" w14:textId="77777777" w:rsidR="005437D9" w:rsidRPr="005437D9" w:rsidRDefault="00387990" w:rsidP="00850448">
            <w:pPr>
              <w:numPr>
                <w:ilvl w:val="0"/>
                <w:numId w:val="3"/>
              </w:numPr>
              <w:rPr>
                <w:sz w:val="20"/>
              </w:rPr>
            </w:pPr>
            <w:r>
              <w:rPr>
                <w:sz w:val="20"/>
              </w:rPr>
              <w:t xml:space="preserve">Are all exceptions resulting from internal audit work investigated and resolved, with the results of such being documented and retained for five years?  </w:t>
            </w:r>
            <w:r w:rsidR="005A336A">
              <w:rPr>
                <w:b/>
                <w:bCs/>
                <w:sz w:val="20"/>
              </w:rPr>
              <w:t>(</w:t>
            </w:r>
            <w:r w:rsidR="00172994">
              <w:rPr>
                <w:b/>
                <w:bCs/>
                <w:sz w:val="20"/>
              </w:rPr>
              <w:t>9</w:t>
            </w:r>
            <w:r w:rsidR="00A8130A" w:rsidRPr="005A336A">
              <w:rPr>
                <w:b/>
                <w:bCs/>
                <w:sz w:val="20"/>
              </w:rPr>
              <w:t xml:space="preserve"> of 1</w:t>
            </w:r>
            <w:r w:rsidR="00850460">
              <w:rPr>
                <w:b/>
                <w:bCs/>
                <w:sz w:val="20"/>
              </w:rPr>
              <w:t>5</w:t>
            </w:r>
            <w:r w:rsidR="00C338E8" w:rsidRPr="00C338E8">
              <w:rPr>
                <w:b/>
                <w:bCs/>
                <w:sz w:val="20"/>
              </w:rPr>
              <w:t>)</w:t>
            </w:r>
            <w:r>
              <w:rPr>
                <w:b/>
                <w:bCs/>
                <w:sz w:val="20"/>
              </w:rPr>
              <w:t xml:space="preserve">  Review a sample of the noted exceptions resulting from internal audit work and determine whether the noted exceptions have been investigated and resolved.</w:t>
            </w:r>
          </w:p>
          <w:p w14:paraId="6A6B2264" w14:textId="741AE61A" w:rsidR="00387990" w:rsidRDefault="00387990" w:rsidP="005437D9">
            <w:pPr>
              <w:ind w:left="360"/>
              <w:rPr>
                <w:sz w:val="20"/>
              </w:rPr>
            </w:pPr>
            <w:r>
              <w:rPr>
                <w:b/>
                <w:bCs/>
                <w:sz w:val="20"/>
              </w:rPr>
              <w:t xml:space="preserve">  </w:t>
            </w:r>
          </w:p>
        </w:tc>
        <w:tc>
          <w:tcPr>
            <w:tcW w:w="720" w:type="dxa"/>
            <w:gridSpan w:val="2"/>
          </w:tcPr>
          <w:p w14:paraId="2B133EC8" w14:textId="77777777" w:rsidR="00387990" w:rsidRDefault="00387990">
            <w:pPr>
              <w:rPr>
                <w:sz w:val="20"/>
              </w:rPr>
            </w:pPr>
          </w:p>
        </w:tc>
        <w:tc>
          <w:tcPr>
            <w:tcW w:w="720" w:type="dxa"/>
            <w:gridSpan w:val="2"/>
          </w:tcPr>
          <w:p w14:paraId="1C5C3A14" w14:textId="77777777" w:rsidR="00387990" w:rsidRDefault="00387990">
            <w:pPr>
              <w:rPr>
                <w:sz w:val="20"/>
              </w:rPr>
            </w:pPr>
          </w:p>
        </w:tc>
        <w:tc>
          <w:tcPr>
            <w:tcW w:w="720" w:type="dxa"/>
            <w:gridSpan w:val="2"/>
          </w:tcPr>
          <w:p w14:paraId="192CC651" w14:textId="77777777" w:rsidR="00387990" w:rsidRDefault="00387990">
            <w:pPr>
              <w:rPr>
                <w:sz w:val="20"/>
              </w:rPr>
            </w:pPr>
          </w:p>
        </w:tc>
        <w:tc>
          <w:tcPr>
            <w:tcW w:w="2988" w:type="dxa"/>
            <w:gridSpan w:val="2"/>
          </w:tcPr>
          <w:p w14:paraId="65C0DBFA" w14:textId="77777777" w:rsidR="00387990" w:rsidRDefault="00387990">
            <w:pPr>
              <w:rPr>
                <w:sz w:val="20"/>
              </w:rPr>
            </w:pPr>
          </w:p>
        </w:tc>
      </w:tr>
      <w:tr w:rsidR="00A90A3C" w14:paraId="745501D6" w14:textId="77777777">
        <w:trPr>
          <w:gridBefore w:val="1"/>
          <w:wBefore w:w="7" w:type="dxa"/>
          <w:cantSplit/>
        </w:trPr>
        <w:tc>
          <w:tcPr>
            <w:tcW w:w="5868" w:type="dxa"/>
            <w:gridSpan w:val="2"/>
            <w:tcMar>
              <w:left w:w="115" w:type="dxa"/>
              <w:bottom w:w="144" w:type="dxa"/>
              <w:right w:w="115" w:type="dxa"/>
            </w:tcMar>
          </w:tcPr>
          <w:p w14:paraId="281DDAB5" w14:textId="77777777" w:rsidR="00A90A3C" w:rsidRPr="005437D9" w:rsidRDefault="00A90A3C" w:rsidP="003C2386">
            <w:pPr>
              <w:numPr>
                <w:ilvl w:val="0"/>
                <w:numId w:val="3"/>
              </w:numPr>
              <w:rPr>
                <w:sz w:val="20"/>
              </w:rPr>
            </w:pPr>
            <w:r w:rsidRPr="005A336A">
              <w:rPr>
                <w:sz w:val="20"/>
              </w:rPr>
              <w:t xml:space="preserve">Does the documentation for the investigation and resolution of exceptions include the names of individuals and job titles with whom inquiries were made and how the investigation was conducted?  </w:t>
            </w:r>
            <w:r w:rsidRPr="005A336A">
              <w:rPr>
                <w:b/>
                <w:sz w:val="20"/>
              </w:rPr>
              <w:t>(</w:t>
            </w:r>
            <w:r w:rsidR="00172994">
              <w:rPr>
                <w:b/>
                <w:sz w:val="20"/>
              </w:rPr>
              <w:t>9</w:t>
            </w:r>
            <w:r w:rsidR="00A8130A" w:rsidRPr="005A336A">
              <w:rPr>
                <w:b/>
                <w:sz w:val="20"/>
              </w:rPr>
              <w:t xml:space="preserve"> of 1</w:t>
            </w:r>
            <w:r w:rsidR="00850460">
              <w:rPr>
                <w:b/>
                <w:sz w:val="20"/>
              </w:rPr>
              <w:t>5</w:t>
            </w:r>
            <w:r w:rsidRPr="005A336A">
              <w:rPr>
                <w:b/>
                <w:sz w:val="20"/>
              </w:rPr>
              <w:t>)</w:t>
            </w:r>
          </w:p>
          <w:p w14:paraId="239E1792" w14:textId="10EE7C29" w:rsidR="005437D9" w:rsidRPr="005A336A" w:rsidRDefault="005437D9" w:rsidP="005437D9">
            <w:pPr>
              <w:ind w:left="360"/>
              <w:rPr>
                <w:sz w:val="20"/>
              </w:rPr>
            </w:pPr>
          </w:p>
        </w:tc>
        <w:tc>
          <w:tcPr>
            <w:tcW w:w="720" w:type="dxa"/>
            <w:gridSpan w:val="2"/>
          </w:tcPr>
          <w:p w14:paraId="02FB0A91" w14:textId="77777777" w:rsidR="00A90A3C" w:rsidRDefault="00A90A3C">
            <w:pPr>
              <w:rPr>
                <w:sz w:val="20"/>
              </w:rPr>
            </w:pPr>
          </w:p>
        </w:tc>
        <w:tc>
          <w:tcPr>
            <w:tcW w:w="720" w:type="dxa"/>
            <w:gridSpan w:val="2"/>
          </w:tcPr>
          <w:p w14:paraId="73D11DEF" w14:textId="77777777" w:rsidR="00A90A3C" w:rsidRDefault="00A90A3C">
            <w:pPr>
              <w:rPr>
                <w:sz w:val="20"/>
              </w:rPr>
            </w:pPr>
          </w:p>
        </w:tc>
        <w:tc>
          <w:tcPr>
            <w:tcW w:w="720" w:type="dxa"/>
            <w:gridSpan w:val="2"/>
          </w:tcPr>
          <w:p w14:paraId="3876620C" w14:textId="77777777" w:rsidR="00A90A3C" w:rsidRDefault="00A90A3C">
            <w:pPr>
              <w:rPr>
                <w:sz w:val="20"/>
              </w:rPr>
            </w:pPr>
          </w:p>
        </w:tc>
        <w:tc>
          <w:tcPr>
            <w:tcW w:w="2988" w:type="dxa"/>
            <w:gridSpan w:val="2"/>
          </w:tcPr>
          <w:p w14:paraId="309C3975" w14:textId="77777777" w:rsidR="00A90A3C" w:rsidRDefault="00A90A3C">
            <w:pPr>
              <w:rPr>
                <w:sz w:val="20"/>
              </w:rPr>
            </w:pPr>
          </w:p>
        </w:tc>
      </w:tr>
      <w:tr w:rsidR="00A90A3C" w14:paraId="52EF0C72" w14:textId="77777777" w:rsidTr="009224AF">
        <w:trPr>
          <w:gridBefore w:val="1"/>
          <w:wBefore w:w="7" w:type="dxa"/>
          <w:cantSplit/>
        </w:trPr>
        <w:tc>
          <w:tcPr>
            <w:tcW w:w="5868" w:type="dxa"/>
            <w:gridSpan w:val="2"/>
            <w:tcMar>
              <w:left w:w="115" w:type="dxa"/>
              <w:bottom w:w="144" w:type="dxa"/>
              <w:right w:w="115" w:type="dxa"/>
            </w:tcMar>
          </w:tcPr>
          <w:p w14:paraId="7C3461C1" w14:textId="6F3941D0" w:rsidR="00A90A3C" w:rsidRPr="005A336A" w:rsidRDefault="00A90A3C">
            <w:pPr>
              <w:numPr>
                <w:ilvl w:val="0"/>
                <w:numId w:val="3"/>
              </w:numPr>
              <w:rPr>
                <w:sz w:val="20"/>
              </w:rPr>
            </w:pPr>
            <w:r w:rsidRPr="005A336A">
              <w:rPr>
                <w:sz w:val="20"/>
              </w:rPr>
              <w:t xml:space="preserve">Is a supervisory review performed of the internal audit work by someone other than the individual performing the procedures being reviewed, and does the individual performing the </w:t>
            </w:r>
            <w:r w:rsidR="00133ECE" w:rsidRPr="005A336A">
              <w:rPr>
                <w:sz w:val="20"/>
              </w:rPr>
              <w:t>review</w:t>
            </w:r>
            <w:r w:rsidRPr="005A336A">
              <w:rPr>
                <w:sz w:val="20"/>
              </w:rPr>
              <w:t xml:space="preserve"> initial or sign on the workpaper? </w:t>
            </w:r>
            <w:r w:rsidRPr="005A336A">
              <w:rPr>
                <w:b/>
                <w:sz w:val="20"/>
              </w:rPr>
              <w:t>(</w:t>
            </w:r>
            <w:r w:rsidR="00172994">
              <w:rPr>
                <w:b/>
                <w:sz w:val="20"/>
              </w:rPr>
              <w:t>9</w:t>
            </w:r>
            <w:r w:rsidR="00A8130A" w:rsidRPr="005A336A">
              <w:rPr>
                <w:b/>
                <w:sz w:val="20"/>
              </w:rPr>
              <w:t xml:space="preserve"> of 1</w:t>
            </w:r>
            <w:r w:rsidR="00850460">
              <w:rPr>
                <w:b/>
                <w:sz w:val="20"/>
              </w:rPr>
              <w:t>5</w:t>
            </w:r>
            <w:r w:rsidRPr="005A336A">
              <w:rPr>
                <w:b/>
                <w:sz w:val="20"/>
              </w:rPr>
              <w:t>)</w:t>
            </w:r>
          </w:p>
          <w:p w14:paraId="0097226D" w14:textId="77777777" w:rsidR="00A90A3C" w:rsidRDefault="00A90A3C" w:rsidP="00A90A3C">
            <w:pPr>
              <w:rPr>
                <w:b/>
                <w:sz w:val="20"/>
                <w:u w:val="single"/>
              </w:rPr>
            </w:pPr>
          </w:p>
          <w:p w14:paraId="41106612" w14:textId="1EF66B0F" w:rsidR="00A90A3C" w:rsidRPr="00D30A70" w:rsidRDefault="00A90A3C" w:rsidP="00A90A3C">
            <w:pPr>
              <w:ind w:left="353"/>
              <w:rPr>
                <w:b/>
                <w:sz w:val="20"/>
              </w:rPr>
            </w:pPr>
            <w:r w:rsidRPr="009224AF">
              <w:rPr>
                <w:b/>
                <w:sz w:val="20"/>
              </w:rPr>
              <w:t>Note</w:t>
            </w:r>
            <w:r w:rsidR="00E50A83" w:rsidRPr="009224AF">
              <w:rPr>
                <w:b/>
                <w:sz w:val="20"/>
              </w:rPr>
              <w:t xml:space="preserve"> 1</w:t>
            </w:r>
            <w:r w:rsidRPr="009224AF">
              <w:rPr>
                <w:b/>
                <w:sz w:val="20"/>
              </w:rPr>
              <w:t>:</w:t>
            </w:r>
            <w:r w:rsidR="00133ECE" w:rsidRPr="005A336A">
              <w:rPr>
                <w:sz w:val="20"/>
              </w:rPr>
              <w:t xml:space="preserve">  For electronic internal audit workpapers, an electronic signature and date along with an audit certification page may be maintained e</w:t>
            </w:r>
            <w:r w:rsidR="005A336A">
              <w:rPr>
                <w:sz w:val="20"/>
              </w:rPr>
              <w:t xml:space="preserve">videncing a review </w:t>
            </w:r>
            <w:r w:rsidR="00133ECE" w:rsidRPr="005A336A">
              <w:rPr>
                <w:sz w:val="20"/>
              </w:rPr>
              <w:t>of the electronic workpapers.</w:t>
            </w:r>
            <w:r w:rsidR="00D30A70">
              <w:rPr>
                <w:sz w:val="20"/>
              </w:rPr>
              <w:t xml:space="preserve"> </w:t>
            </w:r>
            <w:r w:rsidR="00D30A70">
              <w:rPr>
                <w:b/>
                <w:sz w:val="20"/>
              </w:rPr>
              <w:t>(</w:t>
            </w:r>
            <w:r w:rsidR="00172994">
              <w:rPr>
                <w:b/>
                <w:sz w:val="20"/>
              </w:rPr>
              <w:t>9</w:t>
            </w:r>
            <w:r w:rsidR="003C2386">
              <w:rPr>
                <w:b/>
                <w:sz w:val="20"/>
              </w:rPr>
              <w:t xml:space="preserve"> </w:t>
            </w:r>
            <w:r w:rsidR="00D30A70">
              <w:rPr>
                <w:b/>
                <w:sz w:val="20"/>
              </w:rPr>
              <w:t>of 1</w:t>
            </w:r>
            <w:r w:rsidR="00850460">
              <w:rPr>
                <w:b/>
                <w:sz w:val="20"/>
              </w:rPr>
              <w:t>5</w:t>
            </w:r>
            <w:r w:rsidR="00D30A70">
              <w:rPr>
                <w:b/>
                <w:sz w:val="20"/>
              </w:rPr>
              <w:t>)</w:t>
            </w:r>
          </w:p>
          <w:p w14:paraId="2D289C67" w14:textId="77777777" w:rsidR="00E50A83" w:rsidRDefault="00E50A83" w:rsidP="00A90A3C">
            <w:pPr>
              <w:ind w:left="353"/>
              <w:rPr>
                <w:b/>
                <w:sz w:val="20"/>
                <w:u w:val="single"/>
              </w:rPr>
            </w:pPr>
          </w:p>
          <w:p w14:paraId="0A04F4E3" w14:textId="3A36EBEF" w:rsidR="00E50A83" w:rsidRPr="005A336A" w:rsidRDefault="00E50A83" w:rsidP="003C2386">
            <w:pPr>
              <w:ind w:left="353"/>
              <w:rPr>
                <w:sz w:val="20"/>
              </w:rPr>
            </w:pPr>
            <w:r w:rsidRPr="009224AF">
              <w:rPr>
                <w:b/>
                <w:sz w:val="20"/>
              </w:rPr>
              <w:t>Note 2:</w:t>
            </w:r>
            <w:r w:rsidRPr="005A336A">
              <w:rPr>
                <w:sz w:val="20"/>
              </w:rPr>
              <w:t xml:space="preserve">  A supervisory review is only required when two or more persons perform the internal audit function. </w:t>
            </w:r>
            <w:r w:rsidRPr="005A336A">
              <w:rPr>
                <w:b/>
                <w:sz w:val="20"/>
              </w:rPr>
              <w:t>(</w:t>
            </w:r>
            <w:r w:rsidR="00172994">
              <w:rPr>
                <w:b/>
                <w:sz w:val="20"/>
              </w:rPr>
              <w:t>9</w:t>
            </w:r>
            <w:r w:rsidRPr="005A336A">
              <w:rPr>
                <w:b/>
                <w:sz w:val="20"/>
              </w:rPr>
              <w:t xml:space="preserve"> of 1</w:t>
            </w:r>
            <w:r w:rsidR="00850460">
              <w:rPr>
                <w:b/>
                <w:sz w:val="20"/>
              </w:rPr>
              <w:t>5</w:t>
            </w:r>
            <w:r w:rsidRPr="005A336A">
              <w:rPr>
                <w:b/>
                <w:sz w:val="20"/>
              </w:rPr>
              <w:t>)</w:t>
            </w:r>
          </w:p>
        </w:tc>
        <w:tc>
          <w:tcPr>
            <w:tcW w:w="720" w:type="dxa"/>
            <w:gridSpan w:val="2"/>
            <w:tcBorders>
              <w:bottom w:val="single" w:sz="4" w:space="0" w:color="auto"/>
            </w:tcBorders>
          </w:tcPr>
          <w:p w14:paraId="7B33574B" w14:textId="77777777" w:rsidR="00A90A3C" w:rsidRDefault="00A90A3C">
            <w:pPr>
              <w:rPr>
                <w:sz w:val="20"/>
              </w:rPr>
            </w:pPr>
          </w:p>
        </w:tc>
        <w:tc>
          <w:tcPr>
            <w:tcW w:w="720" w:type="dxa"/>
            <w:gridSpan w:val="2"/>
            <w:tcBorders>
              <w:bottom w:val="single" w:sz="4" w:space="0" w:color="auto"/>
            </w:tcBorders>
          </w:tcPr>
          <w:p w14:paraId="7BA8C63D" w14:textId="77777777" w:rsidR="00A90A3C" w:rsidRDefault="00A90A3C">
            <w:pPr>
              <w:rPr>
                <w:sz w:val="20"/>
              </w:rPr>
            </w:pPr>
          </w:p>
        </w:tc>
        <w:tc>
          <w:tcPr>
            <w:tcW w:w="720" w:type="dxa"/>
            <w:gridSpan w:val="2"/>
            <w:tcBorders>
              <w:bottom w:val="single" w:sz="4" w:space="0" w:color="auto"/>
            </w:tcBorders>
          </w:tcPr>
          <w:p w14:paraId="14CA04E1" w14:textId="77777777" w:rsidR="00A90A3C" w:rsidRDefault="00A90A3C">
            <w:pPr>
              <w:rPr>
                <w:sz w:val="20"/>
              </w:rPr>
            </w:pPr>
          </w:p>
        </w:tc>
        <w:tc>
          <w:tcPr>
            <w:tcW w:w="2988" w:type="dxa"/>
            <w:gridSpan w:val="2"/>
            <w:tcBorders>
              <w:bottom w:val="single" w:sz="4" w:space="0" w:color="auto"/>
            </w:tcBorders>
          </w:tcPr>
          <w:p w14:paraId="2529E2D0" w14:textId="77777777" w:rsidR="00A90A3C" w:rsidRDefault="00A90A3C">
            <w:pPr>
              <w:rPr>
                <w:sz w:val="20"/>
              </w:rPr>
            </w:pPr>
          </w:p>
        </w:tc>
      </w:tr>
      <w:tr w:rsidR="00387990" w14:paraId="3DF84C1E" w14:textId="77777777" w:rsidTr="009224AF">
        <w:trPr>
          <w:gridBefore w:val="1"/>
          <w:wBefore w:w="7" w:type="dxa"/>
          <w:cantSplit/>
        </w:trPr>
        <w:tc>
          <w:tcPr>
            <w:tcW w:w="5868" w:type="dxa"/>
            <w:gridSpan w:val="2"/>
            <w:tcMar>
              <w:left w:w="115" w:type="dxa"/>
              <w:bottom w:w="0" w:type="dxa"/>
              <w:right w:w="115" w:type="dxa"/>
            </w:tcMar>
          </w:tcPr>
          <w:p w14:paraId="134CA292" w14:textId="77777777" w:rsidR="00387990" w:rsidRDefault="00387990" w:rsidP="009224AF">
            <w:pPr>
              <w:numPr>
                <w:ilvl w:val="0"/>
                <w:numId w:val="3"/>
              </w:numPr>
              <w:rPr>
                <w:sz w:val="20"/>
              </w:rPr>
            </w:pPr>
            <w:r>
              <w:rPr>
                <w:sz w:val="20"/>
              </w:rPr>
              <w:t xml:space="preserve">In addition to the observations and examinations described in question </w:t>
            </w:r>
            <w:r w:rsidR="000C7DA3" w:rsidRPr="00D30A70">
              <w:rPr>
                <w:sz w:val="20"/>
              </w:rPr>
              <w:t>3</w:t>
            </w:r>
            <w:r w:rsidR="000C7DA3" w:rsidRPr="000C7DA3">
              <w:rPr>
                <w:b/>
                <w:sz w:val="20"/>
              </w:rPr>
              <w:t xml:space="preserve"> </w:t>
            </w:r>
            <w:r>
              <w:rPr>
                <w:sz w:val="20"/>
              </w:rPr>
              <w:t>above:</w:t>
            </w:r>
          </w:p>
          <w:p w14:paraId="37BD44CF" w14:textId="1C5C12DE" w:rsidR="005437D9" w:rsidRPr="005437D9" w:rsidRDefault="005437D9" w:rsidP="005437D9">
            <w:pPr>
              <w:rPr>
                <w:sz w:val="14"/>
              </w:rPr>
            </w:pPr>
          </w:p>
        </w:tc>
        <w:tc>
          <w:tcPr>
            <w:tcW w:w="720" w:type="dxa"/>
            <w:gridSpan w:val="2"/>
            <w:shd w:val="clear" w:color="auto" w:fill="D9D9D9"/>
          </w:tcPr>
          <w:p w14:paraId="73059968" w14:textId="77777777" w:rsidR="00387990" w:rsidRDefault="00387990">
            <w:pPr>
              <w:rPr>
                <w:sz w:val="20"/>
              </w:rPr>
            </w:pPr>
          </w:p>
        </w:tc>
        <w:tc>
          <w:tcPr>
            <w:tcW w:w="720" w:type="dxa"/>
            <w:gridSpan w:val="2"/>
            <w:shd w:val="clear" w:color="auto" w:fill="D9D9D9"/>
          </w:tcPr>
          <w:p w14:paraId="38DB0D50" w14:textId="77777777" w:rsidR="00387990" w:rsidRDefault="00387990">
            <w:pPr>
              <w:rPr>
                <w:sz w:val="20"/>
              </w:rPr>
            </w:pPr>
          </w:p>
        </w:tc>
        <w:tc>
          <w:tcPr>
            <w:tcW w:w="720" w:type="dxa"/>
            <w:gridSpan w:val="2"/>
            <w:shd w:val="clear" w:color="auto" w:fill="D9D9D9"/>
          </w:tcPr>
          <w:p w14:paraId="469A8A82" w14:textId="77777777" w:rsidR="00387990" w:rsidRDefault="00387990">
            <w:pPr>
              <w:rPr>
                <w:sz w:val="20"/>
              </w:rPr>
            </w:pPr>
          </w:p>
        </w:tc>
        <w:tc>
          <w:tcPr>
            <w:tcW w:w="2988" w:type="dxa"/>
            <w:gridSpan w:val="2"/>
            <w:shd w:val="clear" w:color="auto" w:fill="D9D9D9"/>
          </w:tcPr>
          <w:p w14:paraId="31C06BE7" w14:textId="77777777" w:rsidR="00387990" w:rsidRDefault="00387990">
            <w:pPr>
              <w:rPr>
                <w:sz w:val="20"/>
              </w:rPr>
            </w:pPr>
          </w:p>
        </w:tc>
      </w:tr>
      <w:tr w:rsidR="00387990" w14:paraId="6824DB75" w14:textId="77777777">
        <w:trPr>
          <w:gridBefore w:val="1"/>
          <w:wBefore w:w="7" w:type="dxa"/>
          <w:cantSplit/>
        </w:trPr>
        <w:tc>
          <w:tcPr>
            <w:tcW w:w="5868" w:type="dxa"/>
            <w:gridSpan w:val="2"/>
            <w:tcMar>
              <w:left w:w="115" w:type="dxa"/>
              <w:bottom w:w="144" w:type="dxa"/>
              <w:right w:w="115" w:type="dxa"/>
            </w:tcMar>
          </w:tcPr>
          <w:p w14:paraId="798CF482" w14:textId="6806138D" w:rsidR="00387990" w:rsidRDefault="00387990" w:rsidP="00AE421A">
            <w:pPr>
              <w:numPr>
                <w:ilvl w:val="1"/>
                <w:numId w:val="3"/>
              </w:numPr>
              <w:ind w:left="720" w:hanging="360"/>
              <w:rPr>
                <w:sz w:val="20"/>
              </w:rPr>
            </w:pPr>
            <w:r>
              <w:rPr>
                <w:sz w:val="20"/>
              </w:rPr>
              <w:t xml:space="preserve">Are follow-up </w:t>
            </w:r>
            <w:r w:rsidR="00F02A5B" w:rsidRPr="00D30A70">
              <w:rPr>
                <w:sz w:val="20"/>
              </w:rPr>
              <w:t>inquiries,</w:t>
            </w:r>
            <w:r w:rsidR="00F02A5B" w:rsidRPr="00F02A5B">
              <w:rPr>
                <w:sz w:val="20"/>
              </w:rPr>
              <w:t xml:space="preserve"> </w:t>
            </w:r>
            <w:r>
              <w:rPr>
                <w:sz w:val="20"/>
              </w:rPr>
              <w:t xml:space="preserve">observations and examinations performed to verify that corrective action has been taken regarding all instances of noncompliance cited by internal audit, the </w:t>
            </w:r>
            <w:r w:rsidR="00F02A5B" w:rsidRPr="00D30A70">
              <w:rPr>
                <w:sz w:val="20"/>
              </w:rPr>
              <w:t>Gaming Control</w:t>
            </w:r>
            <w:r w:rsidR="00F02A5B">
              <w:rPr>
                <w:sz w:val="20"/>
              </w:rPr>
              <w:t xml:space="preserve"> </w:t>
            </w:r>
            <w:r>
              <w:rPr>
                <w:sz w:val="20"/>
              </w:rPr>
              <w:t>Board and/or the independent accountant</w:t>
            </w:r>
            <w:r w:rsidR="00F02A5B">
              <w:rPr>
                <w:sz w:val="20"/>
              </w:rPr>
              <w:t xml:space="preserve"> </w:t>
            </w:r>
            <w:r w:rsidR="00F02A5B" w:rsidRPr="00D30A70">
              <w:rPr>
                <w:sz w:val="20"/>
              </w:rPr>
              <w:t>with the results of such being documented</w:t>
            </w:r>
            <w:r>
              <w:rPr>
                <w:sz w:val="20"/>
              </w:rPr>
              <w:t xml:space="preserve">?  </w:t>
            </w:r>
            <w:r>
              <w:rPr>
                <w:b/>
                <w:bCs/>
                <w:sz w:val="20"/>
              </w:rPr>
              <w:t>(</w:t>
            </w:r>
            <w:r w:rsidR="00056C40">
              <w:rPr>
                <w:b/>
                <w:bCs/>
                <w:sz w:val="20"/>
              </w:rPr>
              <w:t>9</w:t>
            </w:r>
            <w:r w:rsidR="00A8130A" w:rsidRPr="00D30A70">
              <w:rPr>
                <w:b/>
                <w:bCs/>
                <w:sz w:val="20"/>
                <w:szCs w:val="20"/>
              </w:rPr>
              <w:t xml:space="preserve"> of 1</w:t>
            </w:r>
            <w:r w:rsidR="00850460">
              <w:rPr>
                <w:b/>
                <w:bCs/>
                <w:sz w:val="20"/>
                <w:szCs w:val="20"/>
              </w:rPr>
              <w:t>5</w:t>
            </w:r>
            <w:r>
              <w:rPr>
                <w:b/>
                <w:bCs/>
                <w:sz w:val="20"/>
              </w:rPr>
              <w:t>)</w:t>
            </w:r>
            <w:r>
              <w:rPr>
                <w:sz w:val="20"/>
              </w:rPr>
              <w:t xml:space="preserve">   </w:t>
            </w:r>
            <w:r>
              <w:rPr>
                <w:b/>
                <w:bCs/>
                <w:sz w:val="20"/>
              </w:rPr>
              <w:t>Verify by examination.</w:t>
            </w:r>
          </w:p>
        </w:tc>
        <w:tc>
          <w:tcPr>
            <w:tcW w:w="720" w:type="dxa"/>
            <w:gridSpan w:val="2"/>
          </w:tcPr>
          <w:p w14:paraId="2F8D28B9" w14:textId="77777777" w:rsidR="00387990" w:rsidRDefault="00387990">
            <w:pPr>
              <w:rPr>
                <w:sz w:val="20"/>
              </w:rPr>
            </w:pPr>
          </w:p>
        </w:tc>
        <w:tc>
          <w:tcPr>
            <w:tcW w:w="720" w:type="dxa"/>
            <w:gridSpan w:val="2"/>
          </w:tcPr>
          <w:p w14:paraId="556000AC" w14:textId="77777777" w:rsidR="00387990" w:rsidRDefault="00387990">
            <w:pPr>
              <w:rPr>
                <w:sz w:val="20"/>
              </w:rPr>
            </w:pPr>
          </w:p>
        </w:tc>
        <w:tc>
          <w:tcPr>
            <w:tcW w:w="720" w:type="dxa"/>
            <w:gridSpan w:val="2"/>
          </w:tcPr>
          <w:p w14:paraId="5F069A8D" w14:textId="77777777" w:rsidR="00387990" w:rsidRDefault="00387990">
            <w:pPr>
              <w:rPr>
                <w:sz w:val="20"/>
              </w:rPr>
            </w:pPr>
          </w:p>
        </w:tc>
        <w:tc>
          <w:tcPr>
            <w:tcW w:w="2988" w:type="dxa"/>
            <w:gridSpan w:val="2"/>
          </w:tcPr>
          <w:p w14:paraId="1B640BC9" w14:textId="77777777" w:rsidR="00387990" w:rsidRDefault="00387990">
            <w:pPr>
              <w:rPr>
                <w:sz w:val="20"/>
              </w:rPr>
            </w:pPr>
          </w:p>
        </w:tc>
      </w:tr>
      <w:tr w:rsidR="00387990" w14:paraId="3E658231" w14:textId="77777777">
        <w:trPr>
          <w:gridBefore w:val="1"/>
          <w:wBefore w:w="7" w:type="dxa"/>
          <w:cantSplit/>
        </w:trPr>
        <w:tc>
          <w:tcPr>
            <w:tcW w:w="5868" w:type="dxa"/>
            <w:gridSpan w:val="2"/>
            <w:tcMar>
              <w:left w:w="115" w:type="dxa"/>
              <w:bottom w:w="144" w:type="dxa"/>
              <w:right w:w="115" w:type="dxa"/>
            </w:tcMar>
          </w:tcPr>
          <w:p w14:paraId="6904159B" w14:textId="4C28FF5C" w:rsidR="00387990" w:rsidRDefault="00387990" w:rsidP="00AE421A">
            <w:pPr>
              <w:numPr>
                <w:ilvl w:val="1"/>
                <w:numId w:val="3"/>
              </w:numPr>
              <w:ind w:left="720" w:hanging="360"/>
              <w:rPr>
                <w:sz w:val="20"/>
              </w:rPr>
            </w:pPr>
            <w:r>
              <w:rPr>
                <w:sz w:val="20"/>
              </w:rPr>
              <w:lastRenderedPageBreak/>
              <w:t xml:space="preserve">Is such verification performed within six months following the date of </w:t>
            </w:r>
            <w:r w:rsidR="00F02A5B" w:rsidRPr="00D30A70">
              <w:rPr>
                <w:sz w:val="20"/>
              </w:rPr>
              <w:t>such compliance being transmitted to management</w:t>
            </w:r>
            <w:r>
              <w:rPr>
                <w:sz w:val="20"/>
              </w:rPr>
              <w:t xml:space="preserve">?  </w:t>
            </w:r>
            <w:r>
              <w:rPr>
                <w:b/>
                <w:bCs/>
                <w:sz w:val="20"/>
              </w:rPr>
              <w:t>(</w:t>
            </w:r>
            <w:r w:rsidR="00056C40">
              <w:rPr>
                <w:b/>
                <w:bCs/>
                <w:sz w:val="20"/>
              </w:rPr>
              <w:t>9</w:t>
            </w:r>
            <w:r w:rsidR="00A8130A" w:rsidRPr="00D30A70">
              <w:rPr>
                <w:b/>
                <w:bCs/>
                <w:sz w:val="20"/>
              </w:rPr>
              <w:t xml:space="preserve"> of 1</w:t>
            </w:r>
            <w:r w:rsidR="00850460">
              <w:rPr>
                <w:b/>
                <w:bCs/>
                <w:sz w:val="20"/>
              </w:rPr>
              <w:t>5</w:t>
            </w:r>
            <w:r>
              <w:rPr>
                <w:b/>
                <w:bCs/>
                <w:sz w:val="20"/>
              </w:rPr>
              <w:t>)  Verify by examination.</w:t>
            </w:r>
          </w:p>
        </w:tc>
        <w:tc>
          <w:tcPr>
            <w:tcW w:w="720" w:type="dxa"/>
            <w:gridSpan w:val="2"/>
          </w:tcPr>
          <w:p w14:paraId="5CBDD00C" w14:textId="77777777" w:rsidR="00387990" w:rsidRDefault="00387990">
            <w:pPr>
              <w:rPr>
                <w:sz w:val="20"/>
              </w:rPr>
            </w:pPr>
          </w:p>
        </w:tc>
        <w:tc>
          <w:tcPr>
            <w:tcW w:w="720" w:type="dxa"/>
            <w:gridSpan w:val="2"/>
          </w:tcPr>
          <w:p w14:paraId="78E3360C" w14:textId="77777777" w:rsidR="00387990" w:rsidRDefault="00387990">
            <w:pPr>
              <w:rPr>
                <w:sz w:val="20"/>
              </w:rPr>
            </w:pPr>
          </w:p>
        </w:tc>
        <w:tc>
          <w:tcPr>
            <w:tcW w:w="720" w:type="dxa"/>
            <w:gridSpan w:val="2"/>
          </w:tcPr>
          <w:p w14:paraId="3F9D5475" w14:textId="77777777" w:rsidR="00387990" w:rsidRDefault="00387990">
            <w:pPr>
              <w:rPr>
                <w:sz w:val="20"/>
              </w:rPr>
            </w:pPr>
          </w:p>
        </w:tc>
        <w:tc>
          <w:tcPr>
            <w:tcW w:w="2988" w:type="dxa"/>
            <w:gridSpan w:val="2"/>
          </w:tcPr>
          <w:p w14:paraId="11BDEE23" w14:textId="77777777" w:rsidR="00387990" w:rsidRDefault="00387990">
            <w:pPr>
              <w:rPr>
                <w:sz w:val="20"/>
              </w:rPr>
            </w:pPr>
          </w:p>
        </w:tc>
      </w:tr>
      <w:tr w:rsidR="00F02A5B" w14:paraId="2AFD3A5F" w14:textId="77777777">
        <w:trPr>
          <w:gridBefore w:val="1"/>
          <w:wBefore w:w="7" w:type="dxa"/>
          <w:cantSplit/>
        </w:trPr>
        <w:tc>
          <w:tcPr>
            <w:tcW w:w="5868" w:type="dxa"/>
            <w:gridSpan w:val="2"/>
            <w:tcMar>
              <w:left w:w="115" w:type="dxa"/>
              <w:bottom w:w="144" w:type="dxa"/>
              <w:right w:w="115" w:type="dxa"/>
            </w:tcMar>
          </w:tcPr>
          <w:p w14:paraId="57406498" w14:textId="5BD93EEB" w:rsidR="00F02A5B" w:rsidRPr="005A336A" w:rsidRDefault="00B63BD8" w:rsidP="00AE421A">
            <w:pPr>
              <w:numPr>
                <w:ilvl w:val="1"/>
                <w:numId w:val="3"/>
              </w:numPr>
              <w:ind w:left="720" w:hanging="360"/>
              <w:rPr>
                <w:sz w:val="20"/>
              </w:rPr>
            </w:pPr>
            <w:r w:rsidRPr="005A336A">
              <w:rPr>
                <w:sz w:val="20"/>
              </w:rPr>
              <w:t xml:space="preserve">For branch office noncompliance, is verification performed within one year following the date transmitted to management?  </w:t>
            </w:r>
            <w:r w:rsidRPr="005A336A">
              <w:rPr>
                <w:b/>
                <w:sz w:val="20"/>
              </w:rPr>
              <w:t>(</w:t>
            </w:r>
            <w:r w:rsidR="00056C40">
              <w:rPr>
                <w:b/>
                <w:sz w:val="20"/>
              </w:rPr>
              <w:t>9</w:t>
            </w:r>
            <w:r w:rsidR="00A8130A" w:rsidRPr="005A336A">
              <w:rPr>
                <w:b/>
                <w:sz w:val="20"/>
              </w:rPr>
              <w:t xml:space="preserve"> of 1</w:t>
            </w:r>
            <w:r w:rsidR="00850460">
              <w:rPr>
                <w:b/>
                <w:sz w:val="20"/>
              </w:rPr>
              <w:t>5</w:t>
            </w:r>
            <w:r w:rsidRPr="005A336A">
              <w:rPr>
                <w:b/>
                <w:sz w:val="20"/>
              </w:rPr>
              <w:t>)</w:t>
            </w:r>
            <w:r w:rsidRPr="005A336A">
              <w:rPr>
                <w:sz w:val="20"/>
              </w:rPr>
              <w:t xml:space="preserve"> </w:t>
            </w:r>
          </w:p>
        </w:tc>
        <w:tc>
          <w:tcPr>
            <w:tcW w:w="720" w:type="dxa"/>
            <w:gridSpan w:val="2"/>
          </w:tcPr>
          <w:p w14:paraId="5C601068" w14:textId="77777777" w:rsidR="00F02A5B" w:rsidRDefault="00F02A5B">
            <w:pPr>
              <w:rPr>
                <w:sz w:val="20"/>
              </w:rPr>
            </w:pPr>
          </w:p>
        </w:tc>
        <w:tc>
          <w:tcPr>
            <w:tcW w:w="720" w:type="dxa"/>
            <w:gridSpan w:val="2"/>
          </w:tcPr>
          <w:p w14:paraId="6C6242EA" w14:textId="77777777" w:rsidR="00F02A5B" w:rsidRDefault="00F02A5B">
            <w:pPr>
              <w:rPr>
                <w:sz w:val="20"/>
              </w:rPr>
            </w:pPr>
          </w:p>
        </w:tc>
        <w:tc>
          <w:tcPr>
            <w:tcW w:w="720" w:type="dxa"/>
            <w:gridSpan w:val="2"/>
          </w:tcPr>
          <w:p w14:paraId="10AE02BF" w14:textId="77777777" w:rsidR="00F02A5B" w:rsidRDefault="00F02A5B">
            <w:pPr>
              <w:rPr>
                <w:sz w:val="20"/>
              </w:rPr>
            </w:pPr>
          </w:p>
        </w:tc>
        <w:tc>
          <w:tcPr>
            <w:tcW w:w="2988" w:type="dxa"/>
            <w:gridSpan w:val="2"/>
          </w:tcPr>
          <w:p w14:paraId="7EAC170D" w14:textId="77777777" w:rsidR="00F02A5B" w:rsidRDefault="00F02A5B">
            <w:pPr>
              <w:rPr>
                <w:sz w:val="20"/>
              </w:rPr>
            </w:pPr>
          </w:p>
        </w:tc>
      </w:tr>
    </w:tbl>
    <w:p w14:paraId="4FB510AC" w14:textId="77777777" w:rsidR="00387990" w:rsidRDefault="00387990"/>
    <w:sectPr w:rsidR="00387990" w:rsidSect="005C5ED4">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D28B" w14:textId="77777777" w:rsidR="00342F85" w:rsidRDefault="00342F85">
      <w:r>
        <w:separator/>
      </w:r>
    </w:p>
  </w:endnote>
  <w:endnote w:type="continuationSeparator" w:id="0">
    <w:p w14:paraId="05943BE7" w14:textId="77777777" w:rsidR="00342F85" w:rsidRDefault="003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3A17" w14:textId="77777777" w:rsidR="00DD07E9" w:rsidRDefault="00DD0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4"/>
      <w:gridCol w:w="4091"/>
      <w:gridCol w:w="1770"/>
      <w:gridCol w:w="2140"/>
      <w:gridCol w:w="2165"/>
    </w:tblGrid>
    <w:tr w:rsidR="006E13F2" w14:paraId="4B6AEAC0" w14:textId="77777777">
      <w:tc>
        <w:tcPr>
          <w:tcW w:w="648" w:type="dxa"/>
        </w:tcPr>
        <w:p w14:paraId="1278B827" w14:textId="77777777" w:rsidR="006E13F2" w:rsidRDefault="006E13F2">
          <w:pPr>
            <w:pStyle w:val="Footer"/>
            <w:ind w:right="360"/>
            <w:rPr>
              <w:sz w:val="20"/>
            </w:rPr>
          </w:pPr>
        </w:p>
      </w:tc>
      <w:tc>
        <w:tcPr>
          <w:tcW w:w="4140" w:type="dxa"/>
        </w:tcPr>
        <w:p w14:paraId="3C3D60DF" w14:textId="77777777" w:rsidR="006E13F2" w:rsidRDefault="006E13F2">
          <w:pPr>
            <w:pStyle w:val="Footer"/>
            <w:ind w:right="360"/>
            <w:rPr>
              <w:sz w:val="20"/>
            </w:rPr>
          </w:pPr>
          <w:r>
            <w:rPr>
              <w:sz w:val="20"/>
            </w:rPr>
            <w:t>Verified per representation.</w:t>
          </w:r>
        </w:p>
      </w:tc>
      <w:tc>
        <w:tcPr>
          <w:tcW w:w="1821" w:type="dxa"/>
        </w:tcPr>
        <w:p w14:paraId="19BA2767" w14:textId="77777777" w:rsidR="006E13F2" w:rsidRDefault="006E13F2">
          <w:pPr>
            <w:pStyle w:val="Footer"/>
            <w:ind w:right="360"/>
            <w:rPr>
              <w:sz w:val="20"/>
            </w:rPr>
          </w:pPr>
        </w:p>
      </w:tc>
      <w:tc>
        <w:tcPr>
          <w:tcW w:w="2203" w:type="dxa"/>
        </w:tcPr>
        <w:p w14:paraId="15864C79" w14:textId="77777777" w:rsidR="006E13F2" w:rsidRDefault="006E13F2">
          <w:pPr>
            <w:pStyle w:val="Footer"/>
            <w:ind w:right="360"/>
            <w:rPr>
              <w:sz w:val="20"/>
            </w:rPr>
          </w:pPr>
        </w:p>
      </w:tc>
      <w:tc>
        <w:tcPr>
          <w:tcW w:w="2204" w:type="dxa"/>
        </w:tcPr>
        <w:p w14:paraId="5C307E52" w14:textId="77777777" w:rsidR="006E13F2" w:rsidRDefault="006E13F2">
          <w:pPr>
            <w:pStyle w:val="Footer"/>
            <w:ind w:right="360"/>
            <w:rPr>
              <w:sz w:val="20"/>
            </w:rPr>
          </w:pPr>
        </w:p>
      </w:tc>
    </w:tr>
    <w:tr w:rsidR="006E13F2" w14:paraId="49F2EB49" w14:textId="77777777">
      <w:tc>
        <w:tcPr>
          <w:tcW w:w="648" w:type="dxa"/>
        </w:tcPr>
        <w:p w14:paraId="5FBCB538" w14:textId="77777777" w:rsidR="006E13F2" w:rsidRDefault="006E13F2">
          <w:pPr>
            <w:pStyle w:val="Footer"/>
            <w:ind w:right="360"/>
            <w:rPr>
              <w:sz w:val="20"/>
            </w:rPr>
          </w:pPr>
        </w:p>
      </w:tc>
      <w:tc>
        <w:tcPr>
          <w:tcW w:w="4140" w:type="dxa"/>
        </w:tcPr>
        <w:p w14:paraId="65810DA4" w14:textId="77777777" w:rsidR="006E13F2" w:rsidRDefault="006E13F2">
          <w:pPr>
            <w:pStyle w:val="Footer"/>
            <w:ind w:right="360"/>
            <w:rPr>
              <w:sz w:val="20"/>
            </w:rPr>
          </w:pPr>
          <w:r>
            <w:rPr>
              <w:sz w:val="20"/>
            </w:rPr>
            <w:t>Verified per observation/examination.</w:t>
          </w:r>
        </w:p>
      </w:tc>
      <w:tc>
        <w:tcPr>
          <w:tcW w:w="1821" w:type="dxa"/>
        </w:tcPr>
        <w:p w14:paraId="22F546CA" w14:textId="77777777" w:rsidR="006E13F2" w:rsidRDefault="006E13F2">
          <w:pPr>
            <w:pStyle w:val="Footer"/>
            <w:ind w:right="360"/>
            <w:rPr>
              <w:sz w:val="20"/>
            </w:rPr>
          </w:pPr>
        </w:p>
      </w:tc>
      <w:tc>
        <w:tcPr>
          <w:tcW w:w="2203" w:type="dxa"/>
        </w:tcPr>
        <w:p w14:paraId="36A970AD" w14:textId="77777777" w:rsidR="006E13F2" w:rsidRDefault="006E13F2">
          <w:pPr>
            <w:pStyle w:val="Footer"/>
            <w:ind w:right="360"/>
            <w:rPr>
              <w:sz w:val="20"/>
            </w:rPr>
          </w:pPr>
        </w:p>
      </w:tc>
      <w:tc>
        <w:tcPr>
          <w:tcW w:w="2204" w:type="dxa"/>
        </w:tcPr>
        <w:p w14:paraId="1D5466A8" w14:textId="77777777" w:rsidR="006E13F2" w:rsidRDefault="006E13F2">
          <w:pPr>
            <w:pStyle w:val="Footer"/>
            <w:ind w:right="360"/>
            <w:rPr>
              <w:sz w:val="20"/>
            </w:rPr>
          </w:pPr>
        </w:p>
      </w:tc>
    </w:tr>
    <w:tr w:rsidR="006E13F2" w14:paraId="1B63AC4D" w14:textId="77777777">
      <w:tc>
        <w:tcPr>
          <w:tcW w:w="648" w:type="dxa"/>
        </w:tcPr>
        <w:p w14:paraId="07392877" w14:textId="77777777" w:rsidR="006E13F2" w:rsidRDefault="006E13F2">
          <w:pPr>
            <w:pStyle w:val="Footer"/>
            <w:ind w:right="360"/>
            <w:rPr>
              <w:sz w:val="20"/>
            </w:rPr>
          </w:pPr>
        </w:p>
      </w:tc>
      <w:tc>
        <w:tcPr>
          <w:tcW w:w="4140" w:type="dxa"/>
        </w:tcPr>
        <w:p w14:paraId="36D201A6" w14:textId="77777777" w:rsidR="006E13F2" w:rsidRDefault="006E13F2">
          <w:pPr>
            <w:pStyle w:val="Footer"/>
            <w:ind w:right="360"/>
            <w:rPr>
              <w:sz w:val="20"/>
            </w:rPr>
          </w:pPr>
        </w:p>
      </w:tc>
      <w:tc>
        <w:tcPr>
          <w:tcW w:w="1821" w:type="dxa"/>
        </w:tcPr>
        <w:p w14:paraId="3195FB6C" w14:textId="77777777" w:rsidR="006E13F2" w:rsidRDefault="006E13F2">
          <w:pPr>
            <w:pStyle w:val="Footer"/>
            <w:ind w:right="360"/>
            <w:rPr>
              <w:sz w:val="20"/>
            </w:rPr>
          </w:pPr>
        </w:p>
      </w:tc>
      <w:tc>
        <w:tcPr>
          <w:tcW w:w="2203" w:type="dxa"/>
        </w:tcPr>
        <w:p w14:paraId="61DB27F6" w14:textId="77777777" w:rsidR="006E13F2" w:rsidRDefault="006E13F2">
          <w:pPr>
            <w:pStyle w:val="Footer"/>
            <w:ind w:right="360"/>
            <w:rPr>
              <w:sz w:val="20"/>
            </w:rPr>
          </w:pPr>
        </w:p>
      </w:tc>
      <w:tc>
        <w:tcPr>
          <w:tcW w:w="2204" w:type="dxa"/>
        </w:tcPr>
        <w:p w14:paraId="2F98FE61" w14:textId="77777777" w:rsidR="006E13F2" w:rsidRDefault="006E13F2">
          <w:pPr>
            <w:pStyle w:val="Footer"/>
            <w:ind w:right="360"/>
            <w:rPr>
              <w:sz w:val="20"/>
            </w:rPr>
          </w:pPr>
        </w:p>
      </w:tc>
    </w:tr>
    <w:tr w:rsidR="006E13F2" w14:paraId="1192495F" w14:textId="77777777">
      <w:trPr>
        <w:cantSplit/>
      </w:trPr>
      <w:tc>
        <w:tcPr>
          <w:tcW w:w="4788" w:type="dxa"/>
          <w:gridSpan w:val="2"/>
        </w:tcPr>
        <w:p w14:paraId="59D5D060" w14:textId="29A2C7FE" w:rsidR="006E13F2" w:rsidRPr="000A3ADD" w:rsidRDefault="006E13F2" w:rsidP="002D62B1">
          <w:pPr>
            <w:pStyle w:val="Footer"/>
            <w:ind w:right="360"/>
            <w:rPr>
              <w:b/>
              <w:sz w:val="20"/>
              <w:u w:val="single"/>
            </w:rPr>
          </w:pPr>
          <w:r w:rsidRPr="000A3ADD">
            <w:rPr>
              <w:sz w:val="20"/>
            </w:rPr>
            <w:t xml:space="preserve">VERSION </w:t>
          </w:r>
          <w:r w:rsidR="00DF44BD">
            <w:rPr>
              <w:sz w:val="20"/>
              <w:szCs w:val="20"/>
            </w:rPr>
            <w:t>9</w:t>
          </w:r>
        </w:p>
      </w:tc>
      <w:tc>
        <w:tcPr>
          <w:tcW w:w="1821" w:type="dxa"/>
        </w:tcPr>
        <w:p w14:paraId="7AA7DADF" w14:textId="77777777" w:rsidR="006E13F2" w:rsidRDefault="006E13F2">
          <w:pPr>
            <w:pStyle w:val="Footer"/>
            <w:ind w:right="360"/>
            <w:rPr>
              <w:sz w:val="20"/>
            </w:rPr>
          </w:pPr>
        </w:p>
      </w:tc>
      <w:tc>
        <w:tcPr>
          <w:tcW w:w="2203" w:type="dxa"/>
        </w:tcPr>
        <w:p w14:paraId="1484A1B6" w14:textId="77777777" w:rsidR="006E13F2" w:rsidRDefault="006E13F2">
          <w:pPr>
            <w:pStyle w:val="Footer"/>
            <w:ind w:right="360"/>
            <w:rPr>
              <w:sz w:val="20"/>
            </w:rPr>
          </w:pPr>
        </w:p>
      </w:tc>
      <w:tc>
        <w:tcPr>
          <w:tcW w:w="2204" w:type="dxa"/>
        </w:tcPr>
        <w:p w14:paraId="3F3C90F8" w14:textId="77777777" w:rsidR="006E13F2" w:rsidRDefault="006E13F2">
          <w:pPr>
            <w:pStyle w:val="Footer"/>
            <w:ind w:right="360"/>
            <w:rPr>
              <w:sz w:val="20"/>
            </w:rPr>
          </w:pPr>
        </w:p>
      </w:tc>
    </w:tr>
    <w:tr w:rsidR="006E13F2" w14:paraId="72965375" w14:textId="77777777">
      <w:trPr>
        <w:cantSplit/>
      </w:trPr>
      <w:tc>
        <w:tcPr>
          <w:tcW w:w="4788" w:type="dxa"/>
          <w:gridSpan w:val="2"/>
        </w:tcPr>
        <w:p w14:paraId="34157BBB" w14:textId="27A0624A" w:rsidR="006E13F2" w:rsidRPr="000A3ADD" w:rsidRDefault="006E13F2" w:rsidP="006C5DFC">
          <w:pPr>
            <w:pStyle w:val="Footer"/>
            <w:ind w:right="360"/>
            <w:rPr>
              <w:b/>
              <w:sz w:val="20"/>
              <w:u w:val="single"/>
            </w:rPr>
          </w:pPr>
          <w:r w:rsidRPr="000A3ADD">
            <w:rPr>
              <w:sz w:val="20"/>
            </w:rPr>
            <w:t xml:space="preserve">EFFECTIVE:  </w:t>
          </w:r>
          <w:r w:rsidR="00F7365D">
            <w:rPr>
              <w:sz w:val="20"/>
              <w:szCs w:val="20"/>
            </w:rPr>
            <w:t>April 1, 2023</w:t>
          </w:r>
          <w:r w:rsidR="00827454">
            <w:rPr>
              <w:sz w:val="20"/>
              <w:szCs w:val="20"/>
            </w:rPr>
            <w:t xml:space="preserve"> (Revised </w:t>
          </w:r>
          <w:r w:rsidR="00DD07E9">
            <w:rPr>
              <w:sz w:val="20"/>
              <w:szCs w:val="20"/>
            </w:rPr>
            <w:t>10</w:t>
          </w:r>
          <w:r w:rsidR="00827454">
            <w:rPr>
              <w:sz w:val="20"/>
              <w:szCs w:val="20"/>
            </w:rPr>
            <w:t>/24)</w:t>
          </w:r>
        </w:p>
      </w:tc>
      <w:tc>
        <w:tcPr>
          <w:tcW w:w="1821" w:type="dxa"/>
        </w:tcPr>
        <w:p w14:paraId="373893F2" w14:textId="77777777" w:rsidR="006E13F2" w:rsidRDefault="006E13F2">
          <w:pPr>
            <w:pStyle w:val="Footer"/>
            <w:ind w:right="360"/>
            <w:rPr>
              <w:sz w:val="20"/>
            </w:rPr>
          </w:pPr>
        </w:p>
      </w:tc>
      <w:tc>
        <w:tcPr>
          <w:tcW w:w="2203" w:type="dxa"/>
        </w:tcPr>
        <w:p w14:paraId="10906AAE" w14:textId="77777777" w:rsidR="006E13F2" w:rsidRDefault="006E13F2">
          <w:pPr>
            <w:pStyle w:val="Footer"/>
            <w:ind w:right="360"/>
            <w:rPr>
              <w:sz w:val="20"/>
            </w:rPr>
          </w:pPr>
        </w:p>
      </w:tc>
      <w:tc>
        <w:tcPr>
          <w:tcW w:w="2204" w:type="dxa"/>
        </w:tcPr>
        <w:p w14:paraId="0F595ECB" w14:textId="16136414" w:rsidR="006E13F2" w:rsidRDefault="006E13F2" w:rsidP="003005E9">
          <w:pPr>
            <w:pStyle w:val="Footer"/>
            <w:ind w:right="360"/>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3005E9">
            <w:rPr>
              <w:noProof/>
              <w:sz w:val="20"/>
            </w:rPr>
            <w:t>8</w:t>
          </w:r>
          <w:r>
            <w:rPr>
              <w:sz w:val="20"/>
            </w:rPr>
            <w:fldChar w:fldCharType="end"/>
          </w:r>
          <w:r>
            <w:rPr>
              <w:sz w:val="20"/>
            </w:rPr>
            <w:t xml:space="preserve"> of </w:t>
          </w:r>
          <w:r w:rsidR="003005E9">
            <w:rPr>
              <w:sz w:val="20"/>
            </w:rPr>
            <w:fldChar w:fldCharType="begin"/>
          </w:r>
          <w:r w:rsidR="003005E9">
            <w:rPr>
              <w:sz w:val="20"/>
            </w:rPr>
            <w:instrText xml:space="preserve"> NUMPAGES  </w:instrText>
          </w:r>
          <w:r w:rsidR="003005E9">
            <w:rPr>
              <w:sz w:val="20"/>
            </w:rPr>
            <w:fldChar w:fldCharType="separate"/>
          </w:r>
          <w:r w:rsidR="003005E9">
            <w:rPr>
              <w:noProof/>
              <w:sz w:val="20"/>
            </w:rPr>
            <w:t>8</w:t>
          </w:r>
          <w:r w:rsidR="003005E9">
            <w:rPr>
              <w:sz w:val="20"/>
            </w:rPr>
            <w:fldChar w:fldCharType="end"/>
          </w:r>
        </w:p>
      </w:tc>
    </w:tr>
  </w:tbl>
  <w:p w14:paraId="30C1B829" w14:textId="77777777" w:rsidR="006E13F2" w:rsidRPr="00F7365D" w:rsidRDefault="006E13F2">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4718" w14:textId="77777777" w:rsidR="00DD07E9" w:rsidRDefault="00DD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3BC9" w14:textId="77777777" w:rsidR="00342F85" w:rsidRDefault="00342F85">
      <w:r>
        <w:separator/>
      </w:r>
    </w:p>
  </w:footnote>
  <w:footnote w:type="continuationSeparator" w:id="0">
    <w:p w14:paraId="4187A675" w14:textId="77777777" w:rsidR="00342F85" w:rsidRDefault="0034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7656" w14:textId="77777777" w:rsidR="00DD07E9" w:rsidRDefault="00DD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0221" w14:textId="0FC724DA" w:rsidR="006E13F2" w:rsidRDefault="00B57384">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0CECBBD7" wp14:editId="1B84E064">
              <wp:simplePos x="0" y="0"/>
              <wp:positionH relativeFrom="column">
                <wp:posOffset>5257800</wp:posOffset>
              </wp:positionH>
              <wp:positionV relativeFrom="paragraph">
                <wp:posOffset>160020</wp:posOffset>
              </wp:positionV>
              <wp:extent cx="1485900" cy="2286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161659DF" w14:textId="7C7E4C5F" w:rsidR="006E13F2" w:rsidRDefault="006E13F2" w:rsidP="00763B00">
                          <w:pPr>
                            <w:pStyle w:val="BodyText3"/>
                            <w:jc w:val="center"/>
                          </w:pPr>
                          <w: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BBD7" id="_x0000_t202" coordsize="21600,21600" o:spt="202" path="m,l,21600r21600,l21600,xe">
              <v:stroke joinstyle="miter"/>
              <v:path gradientshapeok="t" o:connecttype="rect"/>
            </v:shapetype>
            <v:shape id="Text Box 6" o:spid="_x0000_s1026" type="#_x0000_t202" style="position:absolute;left:0;text-align:left;margin-left:414pt;margin-top:12.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v7Ng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O7jOwM1lfk9GjJLYx0TV1OlXp7j+KbZwbXHZitvHEOh05CQ9lN48vi7GnG8RFkM3zC&#10;hsLALmACGlvXR+qIDEbo1KXnY2diKiKGnC3mywmZBNnKcnFJcgwB1ctr63z4ILFnUai5o84ndNjf&#10;+5BdX1xiMI9aNXdK66S47WatHdsDTcld+vJbbTvIt/MJfYeQPrun8L/gaMOGmi/n5Twz9NcYEewE&#10;d+7Wq0D7oFVf88XRCarI63vTUB1QBVA6y1S+NgeiI7eZ5TBuRnKM7G+weSbKHea5pz0loUP3g7OB&#10;Zr7m/vsOnORMfzTUtuV0NotLkpTZ/G1Jiju3bM4tYARB1TxwlsV1yIu1s05tO4qUB8XgDbW6VakL&#10;p6wOedNcJyIPOxgX51xPXqc/xeonAAAA//8DAFBLAwQUAAYACAAAACEAap+Jfd4AAAAKAQAADwAA&#10;AGRycy9kb3ducmV2LnhtbEyPwU7DMBBE70j8g7VI3KhTIyIrZFOhSj1wQaL0wNGNt0lEvE5jNwl8&#10;Pe4JjrMzmn1TbhbXi4nG0HlGWK8yEMS1tx03CIeP3YMGEaJha3rPhPBNATbV7U1pCutnfqdpHxuR&#10;SjgUBqGNcSikDHVLzoSVH4iTd/KjMzHJsZF2NHMqd71UWZZLZzpOH1oz0Lal+mt/cQiP80HqeXp7&#10;HU7nn7PzO72Nnxrx/m55eQYRaYl/YbjiJ3SoEtPRX9gG0SNopdOWiKCeFIhrIMtVuhwR8rUCWZXy&#10;/4TqFwAA//8DAFBLAQItABQABgAIAAAAIQC2gziS/gAAAOEBAAATAAAAAAAAAAAAAAAAAAAAAABb&#10;Q29udGVudF9UeXBlc10ueG1sUEsBAi0AFAAGAAgAAAAhADj9If/WAAAAlAEAAAsAAAAAAAAAAAAA&#10;AAAALwEAAF9yZWxzLy5yZWxzUEsBAi0AFAAGAAgAAAAhACq+2/s2AgAAcQQAAA4AAAAAAAAAAAAA&#10;AAAALgIAAGRycy9lMm9Eb2MueG1sUEsBAi0AFAAGAAgAAAAhAGqfiX3eAAAACgEAAA8AAAAAAAAA&#10;AAAAAAAAkAQAAGRycy9kb3ducmV2LnhtbFBLBQYAAAAABAAEAPMAAACbBQAAAAA=&#10;">
              <v:fill opacity="32896f"/>
              <v:textbox>
                <w:txbxContent>
                  <w:p w14:paraId="161659DF" w14:textId="7C7E4C5F" w:rsidR="006E13F2" w:rsidRDefault="006E13F2" w:rsidP="00763B00">
                    <w:pPr>
                      <w:pStyle w:val="BodyText3"/>
                      <w:jc w:val="center"/>
                    </w:pPr>
                    <w:r>
                      <w:t>Auditor’s Name and Date</w:t>
                    </w:r>
                  </w:p>
                </w:txbxContent>
              </v:textbox>
            </v:shape>
          </w:pict>
        </mc:Fallback>
      </mc:AlternateContent>
    </w:r>
  </w:p>
  <w:p w14:paraId="18337FC3" w14:textId="77777777" w:rsidR="006E13F2" w:rsidRDefault="00246804">
    <w:pPr>
      <w:pStyle w:val="Header"/>
      <w:jc w:val="center"/>
      <w:rPr>
        <w:sz w:val="20"/>
      </w:rPr>
    </w:pPr>
    <w:r>
      <w:rPr>
        <w:sz w:val="20"/>
      </w:rPr>
      <w:t xml:space="preserve">Nevada </w:t>
    </w:r>
    <w:r w:rsidR="006E13F2">
      <w:rPr>
        <w:sz w:val="20"/>
      </w:rPr>
      <w:t>Gaming Control Board</w:t>
    </w:r>
  </w:p>
  <w:p w14:paraId="0AB9122B" w14:textId="77777777" w:rsidR="006E13F2" w:rsidRDefault="006E13F2">
    <w:pPr>
      <w:pStyle w:val="Header"/>
      <w:jc w:val="center"/>
      <w:rPr>
        <w:sz w:val="20"/>
      </w:rPr>
    </w:pPr>
  </w:p>
  <w:p w14:paraId="78FAA32E" w14:textId="78E22A65" w:rsidR="006E13F2" w:rsidRDefault="00B57384">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70EED961" wp14:editId="18F48D6C">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15ABA503" w14:textId="77777777" w:rsidR="006E13F2" w:rsidRDefault="006E1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D961"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15ABA503" w14:textId="77777777" w:rsidR="006E13F2" w:rsidRDefault="006E13F2"/>
                </w:txbxContent>
              </v:textbox>
            </v:shape>
          </w:pict>
        </mc:Fallback>
      </mc:AlternateContent>
    </w:r>
    <w:r w:rsidR="006E13F2">
      <w:rPr>
        <w:sz w:val="20"/>
      </w:rPr>
      <w:t>CPA MICS Compliance Checklist</w:t>
    </w:r>
  </w:p>
  <w:p w14:paraId="42531851" w14:textId="77777777" w:rsidR="006E13F2" w:rsidRDefault="006E13F2">
    <w:pPr>
      <w:pStyle w:val="Header"/>
      <w:jc w:val="center"/>
      <w:rPr>
        <w:sz w:val="20"/>
      </w:rPr>
    </w:pPr>
  </w:p>
  <w:p w14:paraId="08D8B7F7" w14:textId="77777777" w:rsidR="006E13F2" w:rsidRDefault="006E13F2">
    <w:pPr>
      <w:pStyle w:val="Header"/>
      <w:jc w:val="center"/>
      <w:rPr>
        <w:b/>
        <w:bCs/>
        <w:sz w:val="20"/>
      </w:rPr>
    </w:pPr>
    <w:r>
      <w:rPr>
        <w:b/>
        <w:bCs/>
        <w:sz w:val="20"/>
      </w:rPr>
      <w:t>INTERNAL AUDIT</w:t>
    </w:r>
  </w:p>
  <w:p w14:paraId="7D163EB7" w14:textId="77777777" w:rsidR="006E13F2" w:rsidRDefault="006E13F2">
    <w:pPr>
      <w:pStyle w:val="Header"/>
      <w:rPr>
        <w:sz w:val="20"/>
      </w:rPr>
    </w:pPr>
  </w:p>
  <w:tbl>
    <w:tblPr>
      <w:tblW w:w="0" w:type="auto"/>
      <w:tblLook w:val="0000" w:firstRow="0" w:lastRow="0" w:firstColumn="0" w:lastColumn="0" w:noHBand="0" w:noVBand="0"/>
    </w:tblPr>
    <w:tblGrid>
      <w:gridCol w:w="1006"/>
      <w:gridCol w:w="4395"/>
      <w:gridCol w:w="1425"/>
      <w:gridCol w:w="3974"/>
    </w:tblGrid>
    <w:tr w:rsidR="006E13F2" w14:paraId="4ACF51A6" w14:textId="77777777">
      <w:tc>
        <w:tcPr>
          <w:tcW w:w="1008" w:type="dxa"/>
        </w:tcPr>
        <w:p w14:paraId="5970F754" w14:textId="77777777" w:rsidR="006E13F2" w:rsidRDefault="006E13F2">
          <w:pPr>
            <w:pStyle w:val="Header"/>
            <w:rPr>
              <w:sz w:val="20"/>
            </w:rPr>
          </w:pPr>
          <w:r>
            <w:rPr>
              <w:sz w:val="20"/>
            </w:rPr>
            <w:t>Licensee</w:t>
          </w:r>
        </w:p>
      </w:tc>
      <w:tc>
        <w:tcPr>
          <w:tcW w:w="4500" w:type="dxa"/>
          <w:tcBorders>
            <w:bottom w:val="single" w:sz="4" w:space="0" w:color="auto"/>
          </w:tcBorders>
        </w:tcPr>
        <w:p w14:paraId="5DCD2D4D" w14:textId="77777777" w:rsidR="006E13F2" w:rsidRDefault="006E13F2">
          <w:pPr>
            <w:pStyle w:val="Header"/>
            <w:rPr>
              <w:sz w:val="20"/>
            </w:rPr>
          </w:pPr>
        </w:p>
      </w:tc>
      <w:tc>
        <w:tcPr>
          <w:tcW w:w="1440" w:type="dxa"/>
        </w:tcPr>
        <w:p w14:paraId="234FD05F" w14:textId="77777777" w:rsidR="006E13F2" w:rsidRDefault="006E13F2">
          <w:pPr>
            <w:pStyle w:val="Header"/>
            <w:rPr>
              <w:sz w:val="20"/>
            </w:rPr>
          </w:pPr>
          <w:r>
            <w:rPr>
              <w:sz w:val="20"/>
            </w:rPr>
            <w:t>Review Period</w:t>
          </w:r>
        </w:p>
      </w:tc>
      <w:tc>
        <w:tcPr>
          <w:tcW w:w="4068" w:type="dxa"/>
          <w:tcBorders>
            <w:bottom w:val="single" w:sz="4" w:space="0" w:color="auto"/>
          </w:tcBorders>
        </w:tcPr>
        <w:p w14:paraId="47F9877B" w14:textId="77777777" w:rsidR="006E13F2" w:rsidRDefault="006E13F2">
          <w:pPr>
            <w:pStyle w:val="Header"/>
            <w:rPr>
              <w:sz w:val="20"/>
            </w:rPr>
          </w:pPr>
        </w:p>
      </w:tc>
    </w:tr>
  </w:tbl>
  <w:p w14:paraId="0E7C3097" w14:textId="77777777" w:rsidR="006E13F2" w:rsidRDefault="006E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F457" w14:textId="77777777" w:rsidR="00DD07E9" w:rsidRDefault="00DD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60A"/>
    <w:multiLevelType w:val="multilevel"/>
    <w:tmpl w:val="FB70A3AC"/>
    <w:lvl w:ilvl="0">
      <w:start w:val="3"/>
      <w:numFmt w:val="decimal"/>
      <w:lvlText w:val="%1."/>
      <w:lvlJc w:val="left"/>
      <w:pPr>
        <w:tabs>
          <w:tab w:val="num" w:pos="720"/>
        </w:tabs>
        <w:ind w:left="720" w:hanging="36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1224D"/>
    <w:multiLevelType w:val="hybridMultilevel"/>
    <w:tmpl w:val="44C21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622C3"/>
    <w:multiLevelType w:val="hybridMultilevel"/>
    <w:tmpl w:val="B1989FFE"/>
    <w:lvl w:ilvl="0" w:tplc="45A2CE96">
      <w:start w:val="4"/>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65228"/>
    <w:multiLevelType w:val="hybridMultilevel"/>
    <w:tmpl w:val="0D2A86F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BE67012"/>
    <w:multiLevelType w:val="multilevel"/>
    <w:tmpl w:val="38E6624E"/>
    <w:lvl w:ilvl="0">
      <w:start w:val="3"/>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1080"/>
        </w:tabs>
        <w:ind w:left="360" w:firstLine="0"/>
      </w:pPr>
      <w:rPr>
        <w:rFonts w:hint="default"/>
        <w:b w:val="0"/>
        <w:i w:val="0"/>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BF421A0"/>
    <w:multiLevelType w:val="multilevel"/>
    <w:tmpl w:val="12DE27C8"/>
    <w:lvl w:ilvl="0">
      <w:start w:val="3"/>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2D3D4451"/>
    <w:multiLevelType w:val="multilevel"/>
    <w:tmpl w:val="654C8CAC"/>
    <w:lvl w:ilvl="0">
      <w:start w:val="3"/>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b w:val="0"/>
        <w:i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7D222E3"/>
    <w:multiLevelType w:val="multilevel"/>
    <w:tmpl w:val="5686EBD2"/>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9" w15:restartNumberingAfterBreak="0">
    <w:nsid w:val="4431475D"/>
    <w:multiLevelType w:val="hybridMultilevel"/>
    <w:tmpl w:val="15EA1E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2" w15:restartNumberingAfterBreak="0">
    <w:nsid w:val="517D642B"/>
    <w:multiLevelType w:val="multilevel"/>
    <w:tmpl w:val="7C647BAA"/>
    <w:lvl w:ilvl="0">
      <w:start w:val="4"/>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6BC81599"/>
    <w:multiLevelType w:val="hybridMultilevel"/>
    <w:tmpl w:val="80407E2A"/>
    <w:lvl w:ilvl="0" w:tplc="D4B4BE10">
      <w:start w:val="3"/>
      <w:numFmt w:val="decimal"/>
      <w:lvlText w:val="%1)"/>
      <w:lvlJc w:val="left"/>
      <w:pPr>
        <w:tabs>
          <w:tab w:val="num" w:pos="720"/>
        </w:tabs>
        <w:ind w:left="720" w:hanging="360"/>
      </w:pPr>
      <w:rPr>
        <w:rFonts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EF0C06"/>
    <w:multiLevelType w:val="hybridMultilevel"/>
    <w:tmpl w:val="FB70A3AC"/>
    <w:lvl w:ilvl="0" w:tplc="AFE09386">
      <w:start w:val="3"/>
      <w:numFmt w:val="decimal"/>
      <w:lvlText w:val="%1."/>
      <w:lvlJc w:val="left"/>
      <w:pPr>
        <w:tabs>
          <w:tab w:val="num" w:pos="720"/>
        </w:tabs>
        <w:ind w:left="720" w:hanging="360"/>
      </w:pPr>
      <w:rPr>
        <w:rFonts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690A68"/>
    <w:multiLevelType w:val="multilevel"/>
    <w:tmpl w:val="5686EBD2"/>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783E23B2"/>
    <w:multiLevelType w:val="multilevel"/>
    <w:tmpl w:val="847AA81C"/>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7B0D7DCA"/>
    <w:multiLevelType w:val="multilevel"/>
    <w:tmpl w:val="80407E2A"/>
    <w:lvl w:ilvl="0">
      <w:start w:val="3"/>
      <w:numFmt w:val="decimal"/>
      <w:lvlText w:val="%1)"/>
      <w:lvlJc w:val="left"/>
      <w:pPr>
        <w:tabs>
          <w:tab w:val="num" w:pos="720"/>
        </w:tabs>
        <w:ind w:left="720" w:hanging="36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E55CC7"/>
    <w:multiLevelType w:val="multilevel"/>
    <w:tmpl w:val="DDE065D2"/>
    <w:lvl w:ilvl="0">
      <w:start w:val="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9" w15:restartNumberingAfterBreak="0">
    <w:nsid w:val="7C66350D"/>
    <w:multiLevelType w:val="multilevel"/>
    <w:tmpl w:val="0D2A86F2"/>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10"/>
  </w:num>
  <w:num w:numId="2">
    <w:abstractNumId w:val="7"/>
  </w:num>
  <w:num w:numId="3">
    <w:abstractNumId w:val="4"/>
  </w:num>
  <w:num w:numId="4">
    <w:abstractNumId w:val="11"/>
  </w:num>
  <w:num w:numId="5">
    <w:abstractNumId w:val="8"/>
  </w:num>
  <w:num w:numId="6">
    <w:abstractNumId w:val="9"/>
  </w:num>
  <w:num w:numId="7">
    <w:abstractNumId w:val="1"/>
  </w:num>
  <w:num w:numId="8">
    <w:abstractNumId w:val="18"/>
  </w:num>
  <w:num w:numId="9">
    <w:abstractNumId w:val="3"/>
  </w:num>
  <w:num w:numId="10">
    <w:abstractNumId w:val="19"/>
  </w:num>
  <w:num w:numId="11">
    <w:abstractNumId w:val="14"/>
  </w:num>
  <w:num w:numId="12">
    <w:abstractNumId w:val="0"/>
  </w:num>
  <w:num w:numId="13">
    <w:abstractNumId w:val="13"/>
  </w:num>
  <w:num w:numId="14">
    <w:abstractNumId w:val="15"/>
  </w:num>
  <w:num w:numId="15">
    <w:abstractNumId w:val="16"/>
  </w:num>
  <w:num w:numId="16">
    <w:abstractNumId w:val="17"/>
  </w:num>
  <w:num w:numId="17">
    <w:abstractNumId w:val="2"/>
  </w:num>
  <w:num w:numId="18">
    <w:abstractNumId w:val="12"/>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ShadeFormData/>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C7"/>
    <w:rsid w:val="00002FF2"/>
    <w:rsid w:val="0001044B"/>
    <w:rsid w:val="00012601"/>
    <w:rsid w:val="00031DFB"/>
    <w:rsid w:val="00056C40"/>
    <w:rsid w:val="00071536"/>
    <w:rsid w:val="000A3ADD"/>
    <w:rsid w:val="000A6B12"/>
    <w:rsid w:val="000C3EC1"/>
    <w:rsid w:val="000C7DA3"/>
    <w:rsid w:val="000D21D6"/>
    <w:rsid w:val="000F1583"/>
    <w:rsid w:val="00104458"/>
    <w:rsid w:val="00112DFE"/>
    <w:rsid w:val="00133ECE"/>
    <w:rsid w:val="00136C12"/>
    <w:rsid w:val="00172994"/>
    <w:rsid w:val="00186557"/>
    <w:rsid w:val="001B3193"/>
    <w:rsid w:val="001E000E"/>
    <w:rsid w:val="001E1B3F"/>
    <w:rsid w:val="001F1A65"/>
    <w:rsid w:val="001F4FEE"/>
    <w:rsid w:val="00231AAA"/>
    <w:rsid w:val="00246804"/>
    <w:rsid w:val="00262F78"/>
    <w:rsid w:val="0026652F"/>
    <w:rsid w:val="00275CE9"/>
    <w:rsid w:val="002A1BE1"/>
    <w:rsid w:val="002A4234"/>
    <w:rsid w:val="002A52D9"/>
    <w:rsid w:val="002D2A88"/>
    <w:rsid w:val="002D62B1"/>
    <w:rsid w:val="002E54BB"/>
    <w:rsid w:val="003005E9"/>
    <w:rsid w:val="003027F7"/>
    <w:rsid w:val="00310037"/>
    <w:rsid w:val="0031013A"/>
    <w:rsid w:val="00317239"/>
    <w:rsid w:val="00340BC7"/>
    <w:rsid w:val="00342F85"/>
    <w:rsid w:val="00363EF2"/>
    <w:rsid w:val="00364E94"/>
    <w:rsid w:val="003818D8"/>
    <w:rsid w:val="00387990"/>
    <w:rsid w:val="00396DDA"/>
    <w:rsid w:val="00396E43"/>
    <w:rsid w:val="003974AB"/>
    <w:rsid w:val="003A77CB"/>
    <w:rsid w:val="003C2386"/>
    <w:rsid w:val="003D23D1"/>
    <w:rsid w:val="003F516D"/>
    <w:rsid w:val="0043175C"/>
    <w:rsid w:val="0043378E"/>
    <w:rsid w:val="00440B27"/>
    <w:rsid w:val="00446843"/>
    <w:rsid w:val="004702E4"/>
    <w:rsid w:val="00477F42"/>
    <w:rsid w:val="004A526D"/>
    <w:rsid w:val="004D7599"/>
    <w:rsid w:val="004E1ABB"/>
    <w:rsid w:val="004E5B79"/>
    <w:rsid w:val="005437D9"/>
    <w:rsid w:val="00547B00"/>
    <w:rsid w:val="00553627"/>
    <w:rsid w:val="005716F5"/>
    <w:rsid w:val="005737FA"/>
    <w:rsid w:val="00587B54"/>
    <w:rsid w:val="005A336A"/>
    <w:rsid w:val="005A5E22"/>
    <w:rsid w:val="005B1D55"/>
    <w:rsid w:val="005C5ED4"/>
    <w:rsid w:val="005E21AA"/>
    <w:rsid w:val="005E7408"/>
    <w:rsid w:val="005F65A0"/>
    <w:rsid w:val="00615539"/>
    <w:rsid w:val="00617578"/>
    <w:rsid w:val="00630FC7"/>
    <w:rsid w:val="00631822"/>
    <w:rsid w:val="0064750B"/>
    <w:rsid w:val="006620AF"/>
    <w:rsid w:val="00662A0A"/>
    <w:rsid w:val="00674A5E"/>
    <w:rsid w:val="0068190B"/>
    <w:rsid w:val="00690139"/>
    <w:rsid w:val="006C40A1"/>
    <w:rsid w:val="006C5DFC"/>
    <w:rsid w:val="006D2DF4"/>
    <w:rsid w:val="006E13F2"/>
    <w:rsid w:val="006F36BD"/>
    <w:rsid w:val="007164EE"/>
    <w:rsid w:val="0074304F"/>
    <w:rsid w:val="007639E6"/>
    <w:rsid w:val="00763B00"/>
    <w:rsid w:val="007955F9"/>
    <w:rsid w:val="00797F2B"/>
    <w:rsid w:val="007A5640"/>
    <w:rsid w:val="007B5D68"/>
    <w:rsid w:val="007C75B9"/>
    <w:rsid w:val="007F0F60"/>
    <w:rsid w:val="00827454"/>
    <w:rsid w:val="008325F3"/>
    <w:rsid w:val="00842C4D"/>
    <w:rsid w:val="0084687F"/>
    <w:rsid w:val="00850448"/>
    <w:rsid w:val="00850460"/>
    <w:rsid w:val="00866F54"/>
    <w:rsid w:val="008754D0"/>
    <w:rsid w:val="00897A2B"/>
    <w:rsid w:val="008A4915"/>
    <w:rsid w:val="008B1A74"/>
    <w:rsid w:val="008C573F"/>
    <w:rsid w:val="008D2AEA"/>
    <w:rsid w:val="008D3448"/>
    <w:rsid w:val="008D5790"/>
    <w:rsid w:val="008E0C4A"/>
    <w:rsid w:val="009029A8"/>
    <w:rsid w:val="009224AF"/>
    <w:rsid w:val="009252B3"/>
    <w:rsid w:val="00942FC0"/>
    <w:rsid w:val="0095213A"/>
    <w:rsid w:val="009532A8"/>
    <w:rsid w:val="00970280"/>
    <w:rsid w:val="009A000F"/>
    <w:rsid w:val="009C56F5"/>
    <w:rsid w:val="009D029A"/>
    <w:rsid w:val="009D6DCB"/>
    <w:rsid w:val="00A40838"/>
    <w:rsid w:val="00A62E33"/>
    <w:rsid w:val="00A63002"/>
    <w:rsid w:val="00A726D0"/>
    <w:rsid w:val="00A76655"/>
    <w:rsid w:val="00A77D32"/>
    <w:rsid w:val="00A801C4"/>
    <w:rsid w:val="00A8130A"/>
    <w:rsid w:val="00A90A3C"/>
    <w:rsid w:val="00AA2635"/>
    <w:rsid w:val="00AA543B"/>
    <w:rsid w:val="00AA610A"/>
    <w:rsid w:val="00AA776F"/>
    <w:rsid w:val="00AD2C4C"/>
    <w:rsid w:val="00AE421A"/>
    <w:rsid w:val="00B41CA8"/>
    <w:rsid w:val="00B425DB"/>
    <w:rsid w:val="00B45253"/>
    <w:rsid w:val="00B51B12"/>
    <w:rsid w:val="00B57384"/>
    <w:rsid w:val="00B63BD8"/>
    <w:rsid w:val="00B9343F"/>
    <w:rsid w:val="00BA778E"/>
    <w:rsid w:val="00BC4717"/>
    <w:rsid w:val="00BE7ADC"/>
    <w:rsid w:val="00BF15BB"/>
    <w:rsid w:val="00BF5F6F"/>
    <w:rsid w:val="00C10C90"/>
    <w:rsid w:val="00C2024D"/>
    <w:rsid w:val="00C338E8"/>
    <w:rsid w:val="00CA0098"/>
    <w:rsid w:val="00CB4131"/>
    <w:rsid w:val="00CC5BD6"/>
    <w:rsid w:val="00CF170B"/>
    <w:rsid w:val="00D00B8E"/>
    <w:rsid w:val="00D01A60"/>
    <w:rsid w:val="00D03905"/>
    <w:rsid w:val="00D0402B"/>
    <w:rsid w:val="00D0708E"/>
    <w:rsid w:val="00D16B67"/>
    <w:rsid w:val="00D21E41"/>
    <w:rsid w:val="00D30A70"/>
    <w:rsid w:val="00D34E8A"/>
    <w:rsid w:val="00D4608C"/>
    <w:rsid w:val="00D579A2"/>
    <w:rsid w:val="00D90B88"/>
    <w:rsid w:val="00D9241B"/>
    <w:rsid w:val="00DC7E41"/>
    <w:rsid w:val="00DD07E9"/>
    <w:rsid w:val="00DE0A00"/>
    <w:rsid w:val="00DE1F72"/>
    <w:rsid w:val="00DF10C5"/>
    <w:rsid w:val="00DF1277"/>
    <w:rsid w:val="00DF44BD"/>
    <w:rsid w:val="00E36200"/>
    <w:rsid w:val="00E50A83"/>
    <w:rsid w:val="00E817F2"/>
    <w:rsid w:val="00E941E3"/>
    <w:rsid w:val="00EC3A06"/>
    <w:rsid w:val="00EC3DA6"/>
    <w:rsid w:val="00EC5ABD"/>
    <w:rsid w:val="00ED7DBC"/>
    <w:rsid w:val="00F02A5B"/>
    <w:rsid w:val="00F1029D"/>
    <w:rsid w:val="00F333C4"/>
    <w:rsid w:val="00F41504"/>
    <w:rsid w:val="00F44866"/>
    <w:rsid w:val="00F64BB2"/>
    <w:rsid w:val="00F7296F"/>
    <w:rsid w:val="00F7365D"/>
    <w:rsid w:val="00FB6787"/>
    <w:rsid w:val="00FE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0EC2DD1"/>
  <w15:chartTrackingRefBased/>
  <w15:docId w15:val="{3B658E1B-2A0A-47C5-9963-B6D2602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ind w:left="360" w:hanging="367"/>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ind w:left="360" w:hanging="360"/>
    </w:pPr>
    <w:rPr>
      <w:sz w:val="20"/>
    </w:rPr>
  </w:style>
  <w:style w:type="paragraph" w:styleId="BodyText">
    <w:name w:val="Body Text"/>
    <w:basedOn w:val="Normal"/>
    <w:rPr>
      <w:sz w:val="20"/>
    </w:rPr>
  </w:style>
  <w:style w:type="paragraph" w:styleId="BodyText3">
    <w:name w:val="Body Text 3"/>
    <w:basedOn w:val="Normal"/>
    <w:rPr>
      <w:sz w:val="16"/>
    </w:rPr>
  </w:style>
  <w:style w:type="paragraph" w:styleId="BodyTextIndent2">
    <w:name w:val="Body Text Indent 2"/>
    <w:basedOn w:val="Normal"/>
    <w:pPr>
      <w:ind w:left="353"/>
    </w:pPr>
    <w:rPr>
      <w:sz w:val="20"/>
    </w:rPr>
  </w:style>
  <w:style w:type="character" w:styleId="CommentReference">
    <w:name w:val="annotation reference"/>
    <w:uiPriority w:val="99"/>
    <w:semiHidden/>
    <w:unhideWhenUsed/>
    <w:rsid w:val="009532A8"/>
    <w:rPr>
      <w:sz w:val="16"/>
      <w:szCs w:val="16"/>
    </w:rPr>
  </w:style>
  <w:style w:type="paragraph" w:styleId="CommentText">
    <w:name w:val="annotation text"/>
    <w:basedOn w:val="Normal"/>
    <w:link w:val="CommentTextChar"/>
    <w:uiPriority w:val="99"/>
    <w:semiHidden/>
    <w:unhideWhenUsed/>
    <w:rsid w:val="009532A8"/>
    <w:rPr>
      <w:sz w:val="20"/>
      <w:szCs w:val="20"/>
    </w:rPr>
  </w:style>
  <w:style w:type="character" w:customStyle="1" w:styleId="CommentTextChar">
    <w:name w:val="Comment Text Char"/>
    <w:basedOn w:val="DefaultParagraphFont"/>
    <w:link w:val="CommentText"/>
    <w:uiPriority w:val="99"/>
    <w:semiHidden/>
    <w:rsid w:val="009532A8"/>
  </w:style>
  <w:style w:type="paragraph" w:styleId="CommentSubject">
    <w:name w:val="annotation subject"/>
    <w:basedOn w:val="CommentText"/>
    <w:next w:val="CommentText"/>
    <w:link w:val="CommentSubjectChar"/>
    <w:uiPriority w:val="99"/>
    <w:semiHidden/>
    <w:unhideWhenUsed/>
    <w:rsid w:val="009532A8"/>
    <w:rPr>
      <w:b/>
      <w:bCs/>
    </w:rPr>
  </w:style>
  <w:style w:type="character" w:customStyle="1" w:styleId="CommentSubjectChar">
    <w:name w:val="Comment Subject Char"/>
    <w:link w:val="CommentSubject"/>
    <w:uiPriority w:val="99"/>
    <w:semiHidden/>
    <w:rsid w:val="009532A8"/>
    <w:rPr>
      <w:b/>
      <w:bCs/>
    </w:rPr>
  </w:style>
  <w:style w:type="paragraph" w:styleId="BalloonText">
    <w:name w:val="Balloon Text"/>
    <w:basedOn w:val="Normal"/>
    <w:link w:val="BalloonTextChar"/>
    <w:uiPriority w:val="99"/>
    <w:semiHidden/>
    <w:unhideWhenUsed/>
    <w:rsid w:val="009532A8"/>
    <w:rPr>
      <w:rFonts w:ascii="Tahoma" w:hAnsi="Tahoma" w:cs="Tahoma"/>
      <w:sz w:val="16"/>
      <w:szCs w:val="16"/>
    </w:rPr>
  </w:style>
  <w:style w:type="character" w:customStyle="1" w:styleId="BalloonTextChar">
    <w:name w:val="Balloon Text Char"/>
    <w:link w:val="BalloonText"/>
    <w:uiPriority w:val="99"/>
    <w:semiHidden/>
    <w:rsid w:val="00953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A680-A7BE-4A5C-8FA9-664FCE0B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Internal Audit</dc:subject>
  <dc:creator>Nevada Gaming Control Board</dc:creator>
  <cp:keywords/>
  <cp:lastModifiedBy>Newell, Shelley</cp:lastModifiedBy>
  <cp:revision>4</cp:revision>
  <cp:lastPrinted>2023-06-02T20:28:00Z</cp:lastPrinted>
  <dcterms:created xsi:type="dcterms:W3CDTF">2024-10-01T15:57:00Z</dcterms:created>
  <dcterms:modified xsi:type="dcterms:W3CDTF">2024-10-08T15:26:00Z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e53bfdca361571efd75ccadbf5454ebcd6f1718efb3905c50e24872d49b39756</vt:lpwstr>
  </property>
</Properties>
</file>