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7ECD" w14:textId="33F5CB54" w:rsidR="00CE5525" w:rsidRDefault="00CE5525">
      <w:pPr>
        <w:rPr>
          <w:rFonts w:ascii="Times New Roman" w:hAnsi="Times New Roman" w:cs="Times New Roman"/>
        </w:rPr>
      </w:pPr>
      <w:bookmarkStart w:id="0" w:name="_GoBack"/>
      <w:bookmarkEnd w:id="0"/>
      <w:r>
        <w:rPr>
          <w:rFonts w:ascii="Times New Roman" w:hAnsi="Times New Roman" w:cs="Times New Roman"/>
        </w:rPr>
        <w:t xml:space="preserve">NGC Regulation 6.090(15) requires the internal auditor to use guidelines, checklists and other “criteria established by the </w:t>
      </w:r>
      <w:r w:rsidR="00BC355A">
        <w:rPr>
          <w:rFonts w:ascii="Times New Roman" w:hAnsi="Times New Roman" w:cs="Times New Roman"/>
        </w:rPr>
        <w:t>C</w:t>
      </w:r>
      <w:r>
        <w:rPr>
          <w:rFonts w:ascii="Times New Roman" w:hAnsi="Times New Roman" w:cs="Times New Roman"/>
        </w:rPr>
        <w:t>hair” in determining whether a Group I licensee is in compliance with applicable statutes, regulations, and Minimum Internal Control Standards (MICS) regarding the Live Entertainment Tax.  The use of this checklist satisfies these requirements.</w:t>
      </w:r>
    </w:p>
    <w:p w14:paraId="35076D38" w14:textId="77777777" w:rsidR="00CE5525" w:rsidRDefault="00CE5525">
      <w:pPr>
        <w:rPr>
          <w:rFonts w:ascii="Times New Roman" w:hAnsi="Times New Roman" w:cs="Times New Roman"/>
        </w:rPr>
      </w:pPr>
    </w:p>
    <w:p w14:paraId="78F5C2CD" w14:textId="77777777" w:rsidR="00CE5525" w:rsidRDefault="00CE5525">
      <w:pPr>
        <w:rPr>
          <w:rFonts w:ascii="Times New Roman" w:hAnsi="Times New Roman" w:cs="Times New Roman"/>
        </w:rPr>
      </w:pPr>
      <w:r>
        <w:rPr>
          <w:rFonts w:ascii="Times New Roman" w:hAnsi="Times New Roman" w:cs="Times New Roman"/>
        </w:rPr>
        <w:t xml:space="preserve">This checklist can be completed for multiple entertainment areas, if applicable, as long as the responses clearly indicate to </w:t>
      </w:r>
      <w:r w:rsidR="00AD4717">
        <w:rPr>
          <w:rFonts w:ascii="Times New Roman" w:hAnsi="Times New Roman" w:cs="Times New Roman"/>
        </w:rPr>
        <w:t>which entertainment</w:t>
      </w:r>
      <w:r>
        <w:rPr>
          <w:rFonts w:ascii="Times New Roman" w:hAnsi="Times New Roman" w:cs="Times New Roman"/>
        </w:rPr>
        <w:t xml:space="preserve"> area the responses apply.</w:t>
      </w:r>
    </w:p>
    <w:p w14:paraId="073F1AED" w14:textId="77777777" w:rsidR="00CE5525" w:rsidRPr="008928DF" w:rsidRDefault="00CE5525">
      <w:pPr>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011"/>
        <w:gridCol w:w="2590"/>
        <w:gridCol w:w="3593"/>
      </w:tblGrid>
      <w:tr w:rsidR="00CE5525" w14:paraId="01A4E47D" w14:textId="77777777">
        <w:tc>
          <w:tcPr>
            <w:tcW w:w="4698" w:type="dxa"/>
            <w:gridSpan w:val="2"/>
            <w:tcBorders>
              <w:top w:val="nil"/>
              <w:left w:val="nil"/>
              <w:bottom w:val="nil"/>
              <w:right w:val="nil"/>
            </w:tcBorders>
          </w:tcPr>
          <w:p w14:paraId="1AF8B1AB" w14:textId="77777777" w:rsidR="00CE5525" w:rsidRDefault="00CE5525">
            <w:pPr>
              <w:rPr>
                <w:rFonts w:ascii="Times New Roman" w:hAnsi="Times New Roman" w:cs="Times New Roman"/>
                <w:b/>
                <w:bCs/>
              </w:rPr>
            </w:pPr>
            <w:r>
              <w:rPr>
                <w:rFonts w:ascii="Times New Roman" w:hAnsi="Times New Roman" w:cs="Times New Roman"/>
                <w:b/>
                <w:bCs/>
              </w:rPr>
              <w:t>Indicate the entertainment area(s) being reviewed:</w:t>
            </w:r>
          </w:p>
        </w:tc>
        <w:tc>
          <w:tcPr>
            <w:tcW w:w="6318" w:type="dxa"/>
            <w:gridSpan w:val="2"/>
            <w:tcBorders>
              <w:top w:val="nil"/>
              <w:left w:val="nil"/>
              <w:bottom w:val="single" w:sz="4" w:space="0" w:color="auto"/>
              <w:right w:val="nil"/>
            </w:tcBorders>
          </w:tcPr>
          <w:p w14:paraId="51C4B01B" w14:textId="77777777" w:rsidR="00CE5525" w:rsidRDefault="00CE5525">
            <w:pPr>
              <w:rPr>
                <w:rFonts w:ascii="Times New Roman" w:hAnsi="Times New Roman" w:cs="Times New Roman"/>
                <w:b/>
                <w:bCs/>
              </w:rPr>
            </w:pPr>
          </w:p>
        </w:tc>
      </w:tr>
      <w:tr w:rsidR="00CE5525" w14:paraId="094EA7FE" w14:textId="77777777">
        <w:tc>
          <w:tcPr>
            <w:tcW w:w="3672" w:type="dxa"/>
            <w:tcBorders>
              <w:top w:val="nil"/>
              <w:left w:val="nil"/>
              <w:bottom w:val="single" w:sz="4" w:space="0" w:color="auto"/>
              <w:right w:val="nil"/>
            </w:tcBorders>
          </w:tcPr>
          <w:p w14:paraId="2DDE395F" w14:textId="77777777" w:rsidR="00CE5525" w:rsidRDefault="00CE5525">
            <w:pPr>
              <w:jc w:val="center"/>
              <w:rPr>
                <w:rFonts w:ascii="Times New Roman" w:hAnsi="Times New Roman" w:cs="Times New Roman"/>
              </w:rPr>
            </w:pPr>
          </w:p>
          <w:p w14:paraId="414BC090" w14:textId="77777777" w:rsidR="00CE5525" w:rsidRDefault="00CE5525">
            <w:pPr>
              <w:jc w:val="center"/>
              <w:rPr>
                <w:rFonts w:ascii="Times New Roman" w:hAnsi="Times New Roman" w:cs="Times New Roman"/>
              </w:rPr>
            </w:pPr>
            <w:r>
              <w:rPr>
                <w:rFonts w:ascii="Times New Roman" w:hAnsi="Times New Roman" w:cs="Times New Roman"/>
              </w:rPr>
              <w:t>Date of Inquiry</w:t>
            </w:r>
          </w:p>
        </w:tc>
        <w:tc>
          <w:tcPr>
            <w:tcW w:w="3672" w:type="dxa"/>
            <w:gridSpan w:val="2"/>
            <w:tcBorders>
              <w:top w:val="nil"/>
              <w:left w:val="nil"/>
              <w:bottom w:val="single" w:sz="4" w:space="0" w:color="auto"/>
              <w:right w:val="nil"/>
            </w:tcBorders>
          </w:tcPr>
          <w:p w14:paraId="12272B7F" w14:textId="77777777" w:rsidR="00CE5525" w:rsidRDefault="00CE5525">
            <w:pPr>
              <w:jc w:val="center"/>
              <w:rPr>
                <w:rFonts w:ascii="Times New Roman" w:hAnsi="Times New Roman" w:cs="Times New Roman"/>
              </w:rPr>
            </w:pPr>
          </w:p>
          <w:p w14:paraId="03BC5466" w14:textId="77777777" w:rsidR="00CE5525" w:rsidRDefault="00CE5525">
            <w:pPr>
              <w:jc w:val="center"/>
              <w:rPr>
                <w:rFonts w:ascii="Times New Roman" w:hAnsi="Times New Roman" w:cs="Times New Roman"/>
              </w:rPr>
            </w:pPr>
            <w:r>
              <w:rPr>
                <w:rFonts w:ascii="Times New Roman" w:hAnsi="Times New Roman" w:cs="Times New Roman"/>
              </w:rPr>
              <w:t>Person Interviewed</w:t>
            </w:r>
          </w:p>
        </w:tc>
        <w:tc>
          <w:tcPr>
            <w:tcW w:w="3672" w:type="dxa"/>
            <w:tcBorders>
              <w:top w:val="nil"/>
              <w:left w:val="nil"/>
              <w:bottom w:val="single" w:sz="4" w:space="0" w:color="auto"/>
              <w:right w:val="nil"/>
            </w:tcBorders>
          </w:tcPr>
          <w:p w14:paraId="6AFE7570" w14:textId="77777777" w:rsidR="00CE5525" w:rsidRDefault="00CE5525">
            <w:pPr>
              <w:jc w:val="center"/>
              <w:rPr>
                <w:rFonts w:ascii="Times New Roman" w:hAnsi="Times New Roman" w:cs="Times New Roman"/>
              </w:rPr>
            </w:pPr>
          </w:p>
          <w:p w14:paraId="3EEC4638" w14:textId="77777777" w:rsidR="00CE5525" w:rsidRDefault="00CE5525">
            <w:pPr>
              <w:jc w:val="center"/>
              <w:rPr>
                <w:rFonts w:ascii="Times New Roman" w:hAnsi="Times New Roman" w:cs="Times New Roman"/>
              </w:rPr>
            </w:pPr>
            <w:r>
              <w:rPr>
                <w:rFonts w:ascii="Times New Roman" w:hAnsi="Times New Roman" w:cs="Times New Roman"/>
              </w:rPr>
              <w:t>Position</w:t>
            </w:r>
          </w:p>
        </w:tc>
      </w:tr>
      <w:tr w:rsidR="00CE5525" w14:paraId="7306AD67" w14:textId="77777777">
        <w:tc>
          <w:tcPr>
            <w:tcW w:w="3672" w:type="dxa"/>
            <w:tcBorders>
              <w:top w:val="single" w:sz="4" w:space="0" w:color="auto"/>
              <w:left w:val="single" w:sz="4" w:space="0" w:color="auto"/>
              <w:bottom w:val="single" w:sz="4" w:space="0" w:color="auto"/>
              <w:right w:val="single" w:sz="4" w:space="0" w:color="auto"/>
            </w:tcBorders>
          </w:tcPr>
          <w:p w14:paraId="298F5FFD" w14:textId="77777777" w:rsidR="00CE5525" w:rsidRDefault="00CE5525">
            <w:pPr>
              <w:rPr>
                <w:rFonts w:ascii="Times New Roman" w:hAnsi="Times New Roman" w:cs="Times New Roman"/>
              </w:rPr>
            </w:pPr>
          </w:p>
        </w:tc>
        <w:tc>
          <w:tcPr>
            <w:tcW w:w="3672" w:type="dxa"/>
            <w:gridSpan w:val="2"/>
            <w:tcBorders>
              <w:top w:val="single" w:sz="4" w:space="0" w:color="auto"/>
              <w:left w:val="single" w:sz="4" w:space="0" w:color="auto"/>
              <w:bottom w:val="single" w:sz="4" w:space="0" w:color="auto"/>
              <w:right w:val="single" w:sz="4" w:space="0" w:color="auto"/>
            </w:tcBorders>
          </w:tcPr>
          <w:p w14:paraId="7C6246E5" w14:textId="77777777" w:rsidR="00CE5525" w:rsidRDefault="00CE5525">
            <w:pPr>
              <w:rPr>
                <w:rFonts w:ascii="Times New Roman" w:hAnsi="Times New Roman" w:cs="Times New Roman"/>
              </w:rPr>
            </w:pPr>
          </w:p>
        </w:tc>
        <w:tc>
          <w:tcPr>
            <w:tcW w:w="3672" w:type="dxa"/>
            <w:tcBorders>
              <w:top w:val="single" w:sz="4" w:space="0" w:color="auto"/>
              <w:left w:val="single" w:sz="4" w:space="0" w:color="auto"/>
              <w:bottom w:val="single" w:sz="4" w:space="0" w:color="auto"/>
              <w:right w:val="single" w:sz="4" w:space="0" w:color="auto"/>
            </w:tcBorders>
          </w:tcPr>
          <w:p w14:paraId="6146C529" w14:textId="77777777" w:rsidR="00CE5525" w:rsidRDefault="00CE5525">
            <w:pPr>
              <w:rPr>
                <w:rFonts w:ascii="Times New Roman" w:hAnsi="Times New Roman" w:cs="Times New Roman"/>
              </w:rPr>
            </w:pPr>
          </w:p>
        </w:tc>
      </w:tr>
      <w:tr w:rsidR="00CE5525" w14:paraId="3F5E453C" w14:textId="77777777">
        <w:tc>
          <w:tcPr>
            <w:tcW w:w="3672" w:type="dxa"/>
            <w:tcBorders>
              <w:top w:val="single" w:sz="4" w:space="0" w:color="auto"/>
              <w:left w:val="single" w:sz="4" w:space="0" w:color="auto"/>
              <w:bottom w:val="single" w:sz="4" w:space="0" w:color="auto"/>
              <w:right w:val="single" w:sz="4" w:space="0" w:color="auto"/>
            </w:tcBorders>
          </w:tcPr>
          <w:p w14:paraId="62373DC1" w14:textId="77777777" w:rsidR="00CE5525" w:rsidRDefault="00CE5525">
            <w:pPr>
              <w:rPr>
                <w:rFonts w:ascii="Times New Roman" w:hAnsi="Times New Roman" w:cs="Times New Roman"/>
              </w:rPr>
            </w:pPr>
          </w:p>
        </w:tc>
        <w:tc>
          <w:tcPr>
            <w:tcW w:w="3672" w:type="dxa"/>
            <w:gridSpan w:val="2"/>
            <w:tcBorders>
              <w:top w:val="single" w:sz="4" w:space="0" w:color="auto"/>
              <w:left w:val="single" w:sz="4" w:space="0" w:color="auto"/>
              <w:bottom w:val="single" w:sz="4" w:space="0" w:color="auto"/>
              <w:right w:val="single" w:sz="4" w:space="0" w:color="auto"/>
            </w:tcBorders>
          </w:tcPr>
          <w:p w14:paraId="7C490055" w14:textId="77777777" w:rsidR="00CE5525" w:rsidRDefault="00CE5525">
            <w:pPr>
              <w:rPr>
                <w:rFonts w:ascii="Times New Roman" w:hAnsi="Times New Roman" w:cs="Times New Roman"/>
              </w:rPr>
            </w:pPr>
          </w:p>
        </w:tc>
        <w:tc>
          <w:tcPr>
            <w:tcW w:w="3672" w:type="dxa"/>
            <w:tcBorders>
              <w:top w:val="single" w:sz="4" w:space="0" w:color="auto"/>
              <w:left w:val="single" w:sz="4" w:space="0" w:color="auto"/>
              <w:bottom w:val="single" w:sz="4" w:space="0" w:color="auto"/>
              <w:right w:val="single" w:sz="4" w:space="0" w:color="auto"/>
            </w:tcBorders>
          </w:tcPr>
          <w:p w14:paraId="179EBA50" w14:textId="77777777" w:rsidR="00CE5525" w:rsidRDefault="00CE5525">
            <w:pPr>
              <w:rPr>
                <w:rFonts w:ascii="Times New Roman" w:hAnsi="Times New Roman" w:cs="Times New Roman"/>
              </w:rPr>
            </w:pPr>
          </w:p>
        </w:tc>
      </w:tr>
      <w:tr w:rsidR="00CE5525" w14:paraId="3DEC70A5" w14:textId="77777777">
        <w:tc>
          <w:tcPr>
            <w:tcW w:w="3672" w:type="dxa"/>
            <w:tcBorders>
              <w:top w:val="single" w:sz="4" w:space="0" w:color="auto"/>
              <w:left w:val="single" w:sz="4" w:space="0" w:color="auto"/>
              <w:bottom w:val="single" w:sz="4" w:space="0" w:color="auto"/>
              <w:right w:val="single" w:sz="4" w:space="0" w:color="auto"/>
            </w:tcBorders>
          </w:tcPr>
          <w:p w14:paraId="1E92F527" w14:textId="77777777" w:rsidR="00CE5525" w:rsidRDefault="00CE5525">
            <w:pPr>
              <w:rPr>
                <w:rFonts w:ascii="Times New Roman" w:hAnsi="Times New Roman" w:cs="Times New Roman"/>
              </w:rPr>
            </w:pPr>
          </w:p>
        </w:tc>
        <w:tc>
          <w:tcPr>
            <w:tcW w:w="3672" w:type="dxa"/>
            <w:gridSpan w:val="2"/>
            <w:tcBorders>
              <w:top w:val="single" w:sz="4" w:space="0" w:color="auto"/>
              <w:left w:val="single" w:sz="4" w:space="0" w:color="auto"/>
              <w:bottom w:val="single" w:sz="4" w:space="0" w:color="auto"/>
              <w:right w:val="single" w:sz="4" w:space="0" w:color="auto"/>
            </w:tcBorders>
          </w:tcPr>
          <w:p w14:paraId="06D3914B" w14:textId="77777777" w:rsidR="00CE5525" w:rsidRDefault="00CE5525">
            <w:pPr>
              <w:rPr>
                <w:rFonts w:ascii="Times New Roman" w:hAnsi="Times New Roman" w:cs="Times New Roman"/>
              </w:rPr>
            </w:pPr>
          </w:p>
        </w:tc>
        <w:tc>
          <w:tcPr>
            <w:tcW w:w="3672" w:type="dxa"/>
            <w:tcBorders>
              <w:top w:val="single" w:sz="4" w:space="0" w:color="auto"/>
              <w:left w:val="single" w:sz="4" w:space="0" w:color="auto"/>
              <w:bottom w:val="single" w:sz="4" w:space="0" w:color="auto"/>
              <w:right w:val="single" w:sz="4" w:space="0" w:color="auto"/>
            </w:tcBorders>
          </w:tcPr>
          <w:p w14:paraId="7D799F97" w14:textId="77777777" w:rsidR="00CE5525" w:rsidRDefault="00CE5525">
            <w:pPr>
              <w:rPr>
                <w:rFonts w:ascii="Times New Roman" w:hAnsi="Times New Roman" w:cs="Times New Roman"/>
              </w:rPr>
            </w:pPr>
          </w:p>
        </w:tc>
      </w:tr>
      <w:tr w:rsidR="00CE5525" w14:paraId="18CDAE24" w14:textId="77777777">
        <w:tc>
          <w:tcPr>
            <w:tcW w:w="3672" w:type="dxa"/>
            <w:tcBorders>
              <w:top w:val="single" w:sz="4" w:space="0" w:color="auto"/>
              <w:left w:val="single" w:sz="4" w:space="0" w:color="auto"/>
              <w:bottom w:val="single" w:sz="4" w:space="0" w:color="auto"/>
              <w:right w:val="single" w:sz="4" w:space="0" w:color="auto"/>
            </w:tcBorders>
          </w:tcPr>
          <w:p w14:paraId="32AA4F78" w14:textId="77777777" w:rsidR="00CE5525" w:rsidRDefault="00CE5525">
            <w:pPr>
              <w:rPr>
                <w:rFonts w:ascii="Times New Roman" w:hAnsi="Times New Roman" w:cs="Times New Roman"/>
              </w:rPr>
            </w:pPr>
          </w:p>
        </w:tc>
        <w:tc>
          <w:tcPr>
            <w:tcW w:w="3672" w:type="dxa"/>
            <w:gridSpan w:val="2"/>
            <w:tcBorders>
              <w:top w:val="single" w:sz="4" w:space="0" w:color="auto"/>
              <w:left w:val="single" w:sz="4" w:space="0" w:color="auto"/>
              <w:bottom w:val="single" w:sz="4" w:space="0" w:color="auto"/>
              <w:right w:val="single" w:sz="4" w:space="0" w:color="auto"/>
            </w:tcBorders>
          </w:tcPr>
          <w:p w14:paraId="4AB78D27" w14:textId="77777777" w:rsidR="00CE5525" w:rsidRDefault="00CE5525">
            <w:pPr>
              <w:rPr>
                <w:rFonts w:ascii="Times New Roman" w:hAnsi="Times New Roman" w:cs="Times New Roman"/>
              </w:rPr>
            </w:pPr>
          </w:p>
        </w:tc>
        <w:tc>
          <w:tcPr>
            <w:tcW w:w="3672" w:type="dxa"/>
            <w:tcBorders>
              <w:top w:val="single" w:sz="4" w:space="0" w:color="auto"/>
              <w:left w:val="single" w:sz="4" w:space="0" w:color="auto"/>
              <w:bottom w:val="single" w:sz="4" w:space="0" w:color="auto"/>
              <w:right w:val="single" w:sz="4" w:space="0" w:color="auto"/>
            </w:tcBorders>
          </w:tcPr>
          <w:p w14:paraId="7EAEF3D8" w14:textId="77777777" w:rsidR="00CE5525" w:rsidRDefault="00CE5525">
            <w:pPr>
              <w:rPr>
                <w:rFonts w:ascii="Times New Roman" w:hAnsi="Times New Roman" w:cs="Times New Roman"/>
              </w:rPr>
            </w:pPr>
          </w:p>
        </w:tc>
      </w:tr>
      <w:tr w:rsidR="00CE5525" w14:paraId="365FD4D1" w14:textId="77777777">
        <w:tc>
          <w:tcPr>
            <w:tcW w:w="3672" w:type="dxa"/>
            <w:tcBorders>
              <w:top w:val="single" w:sz="4" w:space="0" w:color="auto"/>
              <w:left w:val="single" w:sz="4" w:space="0" w:color="auto"/>
              <w:bottom w:val="single" w:sz="4" w:space="0" w:color="auto"/>
              <w:right w:val="single" w:sz="4" w:space="0" w:color="auto"/>
            </w:tcBorders>
          </w:tcPr>
          <w:p w14:paraId="259E5A8B" w14:textId="77777777" w:rsidR="00CE5525" w:rsidRDefault="00CE5525">
            <w:pPr>
              <w:rPr>
                <w:rFonts w:ascii="Times New Roman" w:hAnsi="Times New Roman" w:cs="Times New Roman"/>
              </w:rPr>
            </w:pPr>
          </w:p>
        </w:tc>
        <w:tc>
          <w:tcPr>
            <w:tcW w:w="3672" w:type="dxa"/>
            <w:gridSpan w:val="2"/>
            <w:tcBorders>
              <w:top w:val="single" w:sz="4" w:space="0" w:color="auto"/>
              <w:left w:val="single" w:sz="4" w:space="0" w:color="auto"/>
              <w:bottom w:val="single" w:sz="4" w:space="0" w:color="auto"/>
              <w:right w:val="single" w:sz="4" w:space="0" w:color="auto"/>
            </w:tcBorders>
          </w:tcPr>
          <w:p w14:paraId="47045A91" w14:textId="77777777" w:rsidR="00CE5525" w:rsidRDefault="00CE5525">
            <w:pPr>
              <w:rPr>
                <w:rFonts w:ascii="Times New Roman" w:hAnsi="Times New Roman" w:cs="Times New Roman"/>
              </w:rPr>
            </w:pPr>
          </w:p>
        </w:tc>
        <w:tc>
          <w:tcPr>
            <w:tcW w:w="3672" w:type="dxa"/>
            <w:tcBorders>
              <w:top w:val="single" w:sz="4" w:space="0" w:color="auto"/>
              <w:left w:val="single" w:sz="4" w:space="0" w:color="auto"/>
              <w:bottom w:val="single" w:sz="4" w:space="0" w:color="auto"/>
              <w:right w:val="single" w:sz="4" w:space="0" w:color="auto"/>
            </w:tcBorders>
          </w:tcPr>
          <w:p w14:paraId="0D133EE0" w14:textId="77777777" w:rsidR="00CE5525" w:rsidRDefault="00CE5525">
            <w:pPr>
              <w:rPr>
                <w:rFonts w:ascii="Times New Roman" w:hAnsi="Times New Roman" w:cs="Times New Roman"/>
              </w:rPr>
            </w:pPr>
          </w:p>
        </w:tc>
      </w:tr>
      <w:tr w:rsidR="00CE5525" w14:paraId="38F684C0" w14:textId="77777777">
        <w:tc>
          <w:tcPr>
            <w:tcW w:w="3672" w:type="dxa"/>
            <w:tcBorders>
              <w:top w:val="single" w:sz="4" w:space="0" w:color="auto"/>
              <w:left w:val="single" w:sz="4" w:space="0" w:color="auto"/>
              <w:bottom w:val="single" w:sz="4" w:space="0" w:color="auto"/>
              <w:right w:val="single" w:sz="4" w:space="0" w:color="auto"/>
            </w:tcBorders>
          </w:tcPr>
          <w:p w14:paraId="15742DAB" w14:textId="77777777" w:rsidR="00CE5525" w:rsidRDefault="00CE5525">
            <w:pPr>
              <w:rPr>
                <w:rFonts w:ascii="Times New Roman" w:hAnsi="Times New Roman" w:cs="Times New Roman"/>
              </w:rPr>
            </w:pPr>
          </w:p>
        </w:tc>
        <w:tc>
          <w:tcPr>
            <w:tcW w:w="3672" w:type="dxa"/>
            <w:gridSpan w:val="2"/>
            <w:tcBorders>
              <w:top w:val="single" w:sz="4" w:space="0" w:color="auto"/>
              <w:left w:val="single" w:sz="4" w:space="0" w:color="auto"/>
              <w:bottom w:val="single" w:sz="4" w:space="0" w:color="auto"/>
              <w:right w:val="single" w:sz="4" w:space="0" w:color="auto"/>
            </w:tcBorders>
          </w:tcPr>
          <w:p w14:paraId="2508C780" w14:textId="77777777" w:rsidR="00CE5525" w:rsidRDefault="00CE5525">
            <w:pPr>
              <w:rPr>
                <w:rFonts w:ascii="Times New Roman" w:hAnsi="Times New Roman" w:cs="Times New Roman"/>
              </w:rPr>
            </w:pPr>
          </w:p>
        </w:tc>
        <w:tc>
          <w:tcPr>
            <w:tcW w:w="3672" w:type="dxa"/>
            <w:tcBorders>
              <w:top w:val="single" w:sz="4" w:space="0" w:color="auto"/>
              <w:left w:val="single" w:sz="4" w:space="0" w:color="auto"/>
              <w:bottom w:val="single" w:sz="4" w:space="0" w:color="auto"/>
              <w:right w:val="single" w:sz="4" w:space="0" w:color="auto"/>
            </w:tcBorders>
          </w:tcPr>
          <w:p w14:paraId="5CDA2CD3" w14:textId="77777777" w:rsidR="00CE5525" w:rsidRDefault="00CE5525">
            <w:pPr>
              <w:rPr>
                <w:rFonts w:ascii="Times New Roman" w:hAnsi="Times New Roman" w:cs="Times New Roman"/>
              </w:rPr>
            </w:pPr>
          </w:p>
        </w:tc>
      </w:tr>
    </w:tbl>
    <w:p w14:paraId="644F9B61" w14:textId="77777777" w:rsidR="00CE5525" w:rsidRPr="00351010" w:rsidRDefault="00CE5525">
      <w:pPr>
        <w:rPr>
          <w:rFonts w:ascii="Times New Roman" w:hAnsi="Times New Roman" w:cs="Times New Roman"/>
          <w:sz w:val="10"/>
        </w:rPr>
      </w:pPr>
    </w:p>
    <w:p w14:paraId="5D08CC13" w14:textId="77777777" w:rsidR="00CE5525" w:rsidRDefault="00CE5525">
      <w:pPr>
        <w:rPr>
          <w:rFonts w:ascii="Times New Roman" w:hAnsi="Times New Roman" w:cs="Times New Roman"/>
          <w:szCs w:val="22"/>
        </w:rPr>
      </w:pPr>
      <w:r>
        <w:rPr>
          <w:rFonts w:ascii="Times New Roman" w:hAnsi="Times New Roman" w:cs="Times New Roman"/>
          <w:u w:val="single"/>
        </w:rPr>
        <w:t>Checklist Completion Notes:</w:t>
      </w:r>
    </w:p>
    <w:p w14:paraId="3589EE10" w14:textId="77777777" w:rsidR="00CE5525" w:rsidRDefault="00CE5525" w:rsidP="004C1E84">
      <w:pPr>
        <w:pStyle w:val="List"/>
        <w:numPr>
          <w:ilvl w:val="0"/>
          <w:numId w:val="2"/>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077EAAA4" w14:textId="77777777" w:rsidR="00CE5525" w:rsidRDefault="00CE5525">
      <w:pPr>
        <w:ind w:left="720" w:hanging="720"/>
        <w:rPr>
          <w:rFonts w:ascii="Times New Roman" w:hAnsi="Times New Roman" w:cs="Times New Roman"/>
        </w:rPr>
      </w:pPr>
    </w:p>
    <w:p w14:paraId="21650C5A" w14:textId="2A52E8E1" w:rsidR="00CE5525" w:rsidRDefault="00CE5525" w:rsidP="004C1E84">
      <w:pPr>
        <w:numPr>
          <w:ilvl w:val="0"/>
          <w:numId w:val="2"/>
        </w:numPr>
        <w:rPr>
          <w:rFonts w:ascii="Times New Roman" w:hAnsi="Times New Roman" w:cs="Times New Roman"/>
        </w:rPr>
      </w:pPr>
      <w:r>
        <w:rPr>
          <w:rFonts w:ascii="Times New Roman" w:hAnsi="Times New Roman" w:cs="Times New Roman"/>
        </w:rPr>
        <w:t xml:space="preserve">All “no” answers require referencing and/or comment, and should be cited as regulation violations, unless the Board Chair has granted a MICS variation or the question requires a “no” answer for acceptability.  </w:t>
      </w:r>
      <w:r w:rsidR="00465E54" w:rsidRPr="007F62D5">
        <w:rPr>
          <w:rFonts w:ascii="Times New Roman" w:hAnsi="Times New Roman"/>
        </w:rPr>
        <w:t>All “N/A” answers require referencing and/or comment, as to the reason the procedure is not applicable.</w:t>
      </w:r>
      <w:r w:rsidR="00465E54" w:rsidRPr="00465E54">
        <w:rPr>
          <w:rFonts w:ascii="Times New Roman" w:hAnsi="Times New Roman"/>
        </w:rPr>
        <w:t xml:space="preserve">  </w:t>
      </w:r>
      <w:r>
        <w:rPr>
          <w:rFonts w:ascii="Times New Roman" w:hAnsi="Times New Roman" w:cs="Times New Roman"/>
        </w:rPr>
        <w:t>All exceptions noted should be carried to the internal auditor’s report/summary of findings for timely follow-up.</w:t>
      </w:r>
      <w:r>
        <w:rPr>
          <w:rFonts w:ascii="Times New Roman" w:hAnsi="Times New Roman" w:cs="Times New Roman"/>
          <w:b/>
          <w:bCs/>
        </w:rPr>
        <w:tab/>
      </w:r>
    </w:p>
    <w:p w14:paraId="3C97AA11" w14:textId="77777777" w:rsidR="00CE5525" w:rsidRDefault="00CE5525">
      <w:pPr>
        <w:rPr>
          <w:rFonts w:ascii="Times New Roman" w:hAnsi="Times New Roman" w:cs="Times New Roman"/>
          <w:b/>
          <w:bCs/>
        </w:rPr>
      </w:pPr>
    </w:p>
    <w:p w14:paraId="2164320F" w14:textId="49BCD5FB" w:rsidR="00CE5525" w:rsidRDefault="00CE5525" w:rsidP="004C1E84">
      <w:pPr>
        <w:pStyle w:val="List"/>
        <w:numPr>
          <w:ilvl w:val="0"/>
          <w:numId w:val="2"/>
        </w:numPr>
      </w:pPr>
      <w:r>
        <w:t>“(#)” refers to the Minimum Internal Control Stand</w:t>
      </w:r>
      <w:r w:rsidR="001F5096">
        <w:t>ards for Entertainment, Version</w:t>
      </w:r>
      <w:r>
        <w:t xml:space="preserve"> </w:t>
      </w:r>
      <w:r w:rsidR="00B463FA">
        <w:t>9</w:t>
      </w:r>
      <w:r w:rsidR="00465E54" w:rsidRPr="00465E54">
        <w:t xml:space="preserve"> </w:t>
      </w:r>
      <w:r>
        <w:t>or to the applicable regulation/statute.</w:t>
      </w:r>
    </w:p>
    <w:p w14:paraId="1BE121CC" w14:textId="77777777" w:rsidR="00CE5525" w:rsidRDefault="00CE5525" w:rsidP="00E25F23">
      <w:pPr>
        <w:pStyle w:val="Heading3"/>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Scope:</w:t>
      </w:r>
    </w:p>
    <w:p w14:paraId="26DA595D" w14:textId="77777777" w:rsidR="00CE5525" w:rsidRDefault="00CE5525" w:rsidP="00E25F23">
      <w:pPr>
        <w:pStyle w:val="indent"/>
        <w:ind w:left="0"/>
        <w:rPr>
          <w:b/>
          <w:bCs/>
        </w:rPr>
      </w:pPr>
      <w:r>
        <w:t>This checklist must be completed once in each fiscal year</w:t>
      </w:r>
      <w:r w:rsidR="00251E85" w:rsidRPr="00251E85">
        <w:t xml:space="preserve">.  </w:t>
      </w:r>
      <w:r w:rsidR="00251E85" w:rsidRPr="007F62D5">
        <w:t>However, as addressed in the Internal Audit Guidelines, a</w:t>
      </w:r>
      <w:r w:rsidR="004B7182" w:rsidRPr="007F62D5">
        <w:t xml:space="preserve"> </w:t>
      </w:r>
      <w:r w:rsidR="004B7182" w:rsidRPr="007F62D5">
        <w:rPr>
          <w:i/>
        </w:rPr>
        <w:t>CPA MICS Compliance Checklist – Entertainment</w:t>
      </w:r>
      <w:r w:rsidR="004B7182" w:rsidRPr="007F62D5">
        <w:t xml:space="preserve"> may not be completed for areas subject to entertainment with annual live entertainment revenue of less than $5,000; and may be completed once every two years for areas generating annual live entertainment revenue of less than 3% of total annual reported entertainment revenue.</w:t>
      </w:r>
      <w:r w:rsidR="004B7182" w:rsidRPr="004B7182">
        <w:t xml:space="preserve">  </w:t>
      </w:r>
      <w:r>
        <w:t xml:space="preserve">Taxable entertainment areas include licensee operated and leased venues located on the legal premises.  If multiple entertainment areas exist, additional checklists should be completed to adequately document procedures.  Walk-throughs should be performed during entertainment status for frequent, routinely scheduled entertainment.  Walk-throughs and testing are not necessary for special events and when no live entertainment revenue is reported during the business year.  </w:t>
      </w:r>
      <w:r w:rsidRPr="00A2630D">
        <w:t>However, step #19 of the “Miscellaneous Regulations – Testing Procedures” needs</w:t>
      </w:r>
      <w:r>
        <w:t xml:space="preserve"> to be completed to determine whether any areas of the gaming establishment are subject to Live Entertainment Tax.  </w:t>
      </w:r>
    </w:p>
    <w:p w14:paraId="21A31EDA" w14:textId="77777777" w:rsidR="00CE5525" w:rsidRDefault="00CE5525" w:rsidP="00E25F23">
      <w:pPr>
        <w:rPr>
          <w:rFonts w:ascii="Times New Roman" w:hAnsi="Times New Roman" w:cs="Times New Roman"/>
        </w:rPr>
      </w:pPr>
    </w:p>
    <w:p w14:paraId="09E3516A" w14:textId="77777777" w:rsidR="00CE5525" w:rsidRDefault="00CE5525" w:rsidP="00E25F23">
      <w:pPr>
        <w:rPr>
          <w:rFonts w:ascii="Times New Roman" w:hAnsi="Times New Roman" w:cs="Times New Roman"/>
        </w:rPr>
      </w:pPr>
      <w:r>
        <w:rPr>
          <w:rFonts w:ascii="Times New Roman" w:hAnsi="Times New Roman" w:cs="Times New Roman"/>
        </w:rPr>
        <w:t>If the Entertainment Internal Audit Checklists have been completed for the fiscal year, it is not necessary to perform entertainment internal audit procedures for any new entertainment area added after checklist completion.  Entertainment Internal Audit procedures will be performed for these new areas during the next fiscal year.</w:t>
      </w:r>
    </w:p>
    <w:p w14:paraId="672E9509" w14:textId="77777777" w:rsidR="00A2630D" w:rsidRDefault="00A2630D">
      <w:pPr>
        <w:rPr>
          <w:rFonts w:ascii="Times New Roman" w:hAnsi="Times New Roman" w:cs="Times New Roman"/>
          <w:u w:val="single"/>
        </w:rPr>
      </w:pPr>
    </w:p>
    <w:p w14:paraId="01186A24" w14:textId="77777777" w:rsidR="00A2630D" w:rsidRDefault="00A2630D">
      <w:pPr>
        <w:rPr>
          <w:rFonts w:ascii="Times New Roman" w:hAnsi="Times New Roman" w:cs="Times New Roman"/>
          <w:u w:val="single"/>
        </w:rPr>
      </w:pPr>
    </w:p>
    <w:p w14:paraId="0B837133" w14:textId="77777777" w:rsidR="00B463FA" w:rsidRDefault="00B463FA">
      <w:pPr>
        <w:autoSpaceDE/>
        <w:autoSpaceDN/>
        <w:rPr>
          <w:rFonts w:ascii="Times New Roman" w:hAnsi="Times New Roman" w:cs="Times New Roman"/>
          <w:u w:val="single"/>
        </w:rPr>
      </w:pPr>
      <w:r>
        <w:rPr>
          <w:rFonts w:ascii="Times New Roman" w:hAnsi="Times New Roman" w:cs="Times New Roman"/>
          <w:u w:val="single"/>
        </w:rPr>
        <w:br w:type="page"/>
      </w:r>
    </w:p>
    <w:p w14:paraId="70B6F62B" w14:textId="02D048BF" w:rsidR="00CE5525" w:rsidRDefault="00CC49E3">
      <w:pPr>
        <w:rPr>
          <w:rFonts w:ascii="Times New Roman" w:hAnsi="Times New Roman" w:cs="Times New Roman"/>
        </w:rPr>
      </w:pPr>
      <w:r>
        <w:rPr>
          <w:rFonts w:ascii="Times New Roman" w:hAnsi="Times New Roman" w:cs="Times New Roman"/>
          <w:u w:val="single"/>
        </w:rPr>
        <w:lastRenderedPageBreak/>
        <w:t>M</w:t>
      </w:r>
      <w:r w:rsidR="00CE5525">
        <w:rPr>
          <w:rFonts w:ascii="Times New Roman" w:hAnsi="Times New Roman" w:cs="Times New Roman"/>
          <w:u w:val="single"/>
        </w:rPr>
        <w:t>ICS Variations and Regulation Waivers:</w:t>
      </w:r>
    </w:p>
    <w:p w14:paraId="360EC556" w14:textId="437CCA42" w:rsidR="00CE5525" w:rsidRDefault="00CE5525">
      <w:pPr>
        <w:pStyle w:val="indent"/>
        <w:ind w:left="0"/>
      </w:pPr>
      <w:r>
        <w:t xml:space="preserve">Obtain copies of MICS variation and regulation waiver requests and </w:t>
      </w:r>
      <w:r w:rsidR="00AC6A73">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6FB53581" w14:textId="77777777" w:rsidR="00CE5525" w:rsidRDefault="00CE5525">
      <w:pPr>
        <w:rPr>
          <w:rFonts w:ascii="Times New Roman" w:hAnsi="Times New Roman" w:cs="Times New Roman"/>
          <w:u w:val="single"/>
        </w:rPr>
      </w:pPr>
    </w:p>
    <w:p w14:paraId="15D277B9" w14:textId="77777777" w:rsidR="00CE5525" w:rsidRDefault="00CE5525">
      <w:pPr>
        <w:rPr>
          <w:rFonts w:ascii="Times New Roman" w:hAnsi="Times New Roman" w:cs="Times New Roman"/>
        </w:rPr>
      </w:pPr>
      <w:r>
        <w:rPr>
          <w:rFonts w:ascii="Times New Roman" w:hAnsi="Times New Roman" w:cs="Times New Roman"/>
          <w:u w:val="single"/>
        </w:rPr>
        <w:t>Associated Equipment:</w:t>
      </w:r>
    </w:p>
    <w:p w14:paraId="4647B060" w14:textId="778611D4" w:rsidR="00CE5525" w:rsidRDefault="00465E54" w:rsidP="00465E54">
      <w:pPr>
        <w:pStyle w:val="indent"/>
        <w:ind w:left="0"/>
      </w:pPr>
      <w:r>
        <w:t xml:space="preserve">Determine if approval has been received for all associated equipment used in the live entertainment department.  For all unreported associated equipment, cite violations of </w:t>
      </w:r>
      <w:r>
        <w:rPr>
          <w:b/>
          <w:bCs/>
        </w:rPr>
        <w:t>Regulation 14.2</w:t>
      </w:r>
      <w:r w:rsidR="007945B2">
        <w:rPr>
          <w:b/>
          <w:bCs/>
        </w:rPr>
        <w:t>6</w:t>
      </w:r>
      <w:r>
        <w:rPr>
          <w:b/>
          <w:bCs/>
        </w:rPr>
        <w:t>0</w:t>
      </w:r>
      <w:r w:rsidR="001F5096">
        <w:t xml:space="preserve">.  </w:t>
      </w:r>
      <w:r w:rsidRPr="00F71464">
        <w:t>For</w:t>
      </w:r>
      <w:r w:rsidRPr="00344D2D">
        <w:t xml:space="preserve"> </w:t>
      </w:r>
      <w:r w:rsidRPr="00F71464">
        <w:t>associated equipment,</w:t>
      </w:r>
      <w:r w:rsidRPr="00344D2D">
        <w:t xml:space="preserve"> </w:t>
      </w:r>
      <w:r w:rsidRPr="00F71464">
        <w:t xml:space="preserve">perform a walk-through of any </w:t>
      </w:r>
      <w:r w:rsidRPr="007F62D5">
        <w:t>additional controls</w:t>
      </w:r>
      <w:r w:rsidRPr="00672F4B">
        <w:t xml:space="preserve"> </w:t>
      </w:r>
      <w:r w:rsidRPr="00F71464">
        <w:t>on the use of the associated equipment</w:t>
      </w:r>
      <w:r w:rsidR="001F5096">
        <w:t xml:space="preserve"> </w:t>
      </w:r>
      <w:r w:rsidRPr="00344D2D">
        <w:t xml:space="preserve">which </w:t>
      </w:r>
      <w:r w:rsidRPr="007F62D5">
        <w:t>may be</w:t>
      </w:r>
      <w:r w:rsidRPr="00344D2D">
        <w:t xml:space="preserve"> included in the written system of internal control.</w:t>
      </w:r>
    </w:p>
    <w:p w14:paraId="4746273E" w14:textId="77777777" w:rsidR="00CE5525" w:rsidRDefault="00CE5525">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CE5525" w14:paraId="067B017C" w14:textId="77777777">
        <w:tc>
          <w:tcPr>
            <w:tcW w:w="1283" w:type="dxa"/>
            <w:tcBorders>
              <w:top w:val="single" w:sz="12" w:space="0" w:color="auto"/>
              <w:left w:val="single" w:sz="12" w:space="0" w:color="auto"/>
              <w:bottom w:val="single" w:sz="6" w:space="0" w:color="auto"/>
              <w:right w:val="single" w:sz="6" w:space="0" w:color="auto"/>
            </w:tcBorders>
          </w:tcPr>
          <w:p w14:paraId="695C6397" w14:textId="77777777" w:rsidR="00CE5525" w:rsidRDefault="00CE5525">
            <w:pPr>
              <w:pStyle w:val="List"/>
              <w:ind w:left="0" w:firstLine="0"/>
              <w:jc w:val="center"/>
              <w:rPr>
                <w:b/>
                <w:bCs/>
              </w:rPr>
            </w:pPr>
            <w:r>
              <w:rPr>
                <w:b/>
                <w:bCs/>
              </w:rPr>
              <w:t>Date</w:t>
            </w:r>
          </w:p>
          <w:p w14:paraId="1865918B" w14:textId="77777777" w:rsidR="00CE5525" w:rsidRDefault="00CE5525">
            <w:pPr>
              <w:pStyle w:val="List"/>
              <w:ind w:left="0" w:firstLine="0"/>
              <w:jc w:val="center"/>
              <w:rPr>
                <w:b/>
                <w:bCs/>
              </w:rPr>
            </w:pPr>
            <w:r>
              <w:rPr>
                <w:b/>
                <w:bCs/>
              </w:rPr>
              <w:t>Approval</w:t>
            </w:r>
          </w:p>
          <w:p w14:paraId="0B8D3460" w14:textId="77777777" w:rsidR="00CE5525" w:rsidRDefault="00CE5525">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431F072A" w14:textId="77777777" w:rsidR="00CE5525" w:rsidRDefault="00CE5525">
            <w:pPr>
              <w:pStyle w:val="List"/>
              <w:ind w:left="0" w:firstLine="0"/>
              <w:jc w:val="center"/>
              <w:rPr>
                <w:b/>
                <w:bCs/>
              </w:rPr>
            </w:pPr>
            <w:r>
              <w:rPr>
                <w:b/>
                <w:bCs/>
              </w:rPr>
              <w:t xml:space="preserve">MICS Number </w:t>
            </w:r>
          </w:p>
          <w:p w14:paraId="1862AA41" w14:textId="77777777" w:rsidR="00CE5525" w:rsidRDefault="00CE5525">
            <w:pPr>
              <w:pStyle w:val="List"/>
              <w:ind w:left="0" w:firstLine="0"/>
              <w:jc w:val="center"/>
              <w:rPr>
                <w:b/>
                <w:bCs/>
              </w:rPr>
            </w:pPr>
            <w:r>
              <w:rPr>
                <w:b/>
                <w:bCs/>
              </w:rPr>
              <w:t>or</w:t>
            </w:r>
          </w:p>
          <w:p w14:paraId="1C2A4AD8" w14:textId="77777777" w:rsidR="00CE5525" w:rsidRDefault="00CE5525">
            <w:pPr>
              <w:pStyle w:val="List"/>
              <w:ind w:left="0" w:firstLine="0"/>
              <w:jc w:val="center"/>
              <w:rPr>
                <w:b/>
                <w:bCs/>
              </w:rPr>
            </w:pPr>
            <w:r>
              <w:rPr>
                <w:b/>
                <w:bCs/>
              </w:rPr>
              <w:t>Regulation</w:t>
            </w:r>
          </w:p>
          <w:p w14:paraId="1D860209" w14:textId="77777777" w:rsidR="00CE5525" w:rsidRDefault="00CE5525">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3908C446" w14:textId="77777777" w:rsidR="00CE5525" w:rsidRDefault="00CE5525">
            <w:pPr>
              <w:pStyle w:val="List"/>
              <w:ind w:left="0" w:firstLine="0"/>
              <w:jc w:val="center"/>
              <w:rPr>
                <w:b/>
                <w:bCs/>
              </w:rPr>
            </w:pPr>
            <w:r>
              <w:rPr>
                <w:b/>
                <w:bCs/>
              </w:rPr>
              <w:t xml:space="preserve">Description of </w:t>
            </w:r>
          </w:p>
          <w:p w14:paraId="205E8354" w14:textId="77777777" w:rsidR="00CE5525" w:rsidRDefault="00CE5525">
            <w:pPr>
              <w:pStyle w:val="List"/>
              <w:ind w:left="0" w:firstLine="0"/>
              <w:jc w:val="center"/>
              <w:rPr>
                <w:b/>
                <w:bCs/>
              </w:rPr>
            </w:pPr>
            <w:r>
              <w:rPr>
                <w:b/>
                <w:bCs/>
              </w:rPr>
              <w:t>Variation/Waiver Granted</w:t>
            </w:r>
          </w:p>
          <w:p w14:paraId="64E0F572" w14:textId="77777777" w:rsidR="00CE5525" w:rsidRDefault="00CE5525">
            <w:pPr>
              <w:pStyle w:val="List"/>
              <w:ind w:left="0" w:firstLine="0"/>
              <w:jc w:val="center"/>
              <w:rPr>
                <w:b/>
                <w:bCs/>
              </w:rPr>
            </w:pPr>
            <w:r>
              <w:rPr>
                <w:b/>
                <w:bCs/>
              </w:rPr>
              <w:t xml:space="preserve">or </w:t>
            </w:r>
          </w:p>
          <w:p w14:paraId="2534FEA4" w14:textId="77777777" w:rsidR="00CE5525" w:rsidRDefault="00CE5525">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D19A673" w14:textId="77777777" w:rsidR="00CE5525" w:rsidRDefault="00CE5525">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5C1397EA" w14:textId="77777777" w:rsidR="00CE5525" w:rsidRDefault="00CE5525">
            <w:pPr>
              <w:pStyle w:val="List"/>
              <w:ind w:left="0" w:firstLine="0"/>
              <w:jc w:val="center"/>
              <w:rPr>
                <w:b/>
                <w:bCs/>
              </w:rPr>
            </w:pPr>
            <w:r>
              <w:rPr>
                <w:b/>
                <w:bCs/>
              </w:rPr>
              <w:t>W/P Ref.</w:t>
            </w:r>
          </w:p>
          <w:p w14:paraId="76B7DBDF" w14:textId="77777777" w:rsidR="00CE5525" w:rsidRDefault="00CE5525">
            <w:pPr>
              <w:pStyle w:val="List"/>
              <w:ind w:left="0" w:firstLine="0"/>
              <w:jc w:val="center"/>
              <w:rPr>
                <w:b/>
                <w:bCs/>
              </w:rPr>
            </w:pPr>
            <w:r>
              <w:rPr>
                <w:b/>
                <w:bCs/>
              </w:rPr>
              <w:t>(if appl.)</w:t>
            </w:r>
          </w:p>
        </w:tc>
      </w:tr>
      <w:tr w:rsidR="00CE5525" w14:paraId="2E91F6AD" w14:textId="77777777">
        <w:tc>
          <w:tcPr>
            <w:tcW w:w="1283" w:type="dxa"/>
            <w:tcBorders>
              <w:top w:val="single" w:sz="6" w:space="0" w:color="auto"/>
              <w:left w:val="single" w:sz="12" w:space="0" w:color="auto"/>
              <w:bottom w:val="single" w:sz="6" w:space="0" w:color="auto"/>
              <w:right w:val="single" w:sz="6" w:space="0" w:color="auto"/>
            </w:tcBorders>
          </w:tcPr>
          <w:p w14:paraId="37F4B51C"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1D4BC74"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94E7A58"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2B85164"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41757D9" w14:textId="77777777" w:rsidR="00CE5525" w:rsidRDefault="00CE5525">
            <w:pPr>
              <w:pStyle w:val="List"/>
              <w:ind w:left="0" w:firstLine="0"/>
              <w:rPr>
                <w:b/>
                <w:bCs/>
              </w:rPr>
            </w:pPr>
          </w:p>
        </w:tc>
      </w:tr>
      <w:tr w:rsidR="00CE5525" w14:paraId="5E0E23DD" w14:textId="77777777">
        <w:tc>
          <w:tcPr>
            <w:tcW w:w="1283" w:type="dxa"/>
            <w:tcBorders>
              <w:top w:val="single" w:sz="6" w:space="0" w:color="auto"/>
              <w:left w:val="single" w:sz="12" w:space="0" w:color="auto"/>
              <w:bottom w:val="single" w:sz="6" w:space="0" w:color="auto"/>
              <w:right w:val="single" w:sz="6" w:space="0" w:color="auto"/>
            </w:tcBorders>
          </w:tcPr>
          <w:p w14:paraId="30B11255"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419054C"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EECF3DA"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353B15D"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CC7F4FB" w14:textId="77777777" w:rsidR="00CE5525" w:rsidRDefault="00CE5525">
            <w:pPr>
              <w:pStyle w:val="List"/>
              <w:ind w:left="0" w:firstLine="0"/>
              <w:rPr>
                <w:b/>
                <w:bCs/>
              </w:rPr>
            </w:pPr>
          </w:p>
        </w:tc>
      </w:tr>
      <w:tr w:rsidR="00CE5525" w14:paraId="31797154" w14:textId="77777777">
        <w:tc>
          <w:tcPr>
            <w:tcW w:w="1283" w:type="dxa"/>
            <w:tcBorders>
              <w:top w:val="single" w:sz="6" w:space="0" w:color="auto"/>
              <w:left w:val="single" w:sz="12" w:space="0" w:color="auto"/>
              <w:bottom w:val="single" w:sz="6" w:space="0" w:color="auto"/>
              <w:right w:val="single" w:sz="6" w:space="0" w:color="auto"/>
            </w:tcBorders>
          </w:tcPr>
          <w:p w14:paraId="5F82CE98"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83C79FB"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3206715"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D1F3C64"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25C7ECF" w14:textId="77777777" w:rsidR="00CE5525" w:rsidRDefault="00CE5525">
            <w:pPr>
              <w:pStyle w:val="List"/>
              <w:ind w:left="0" w:firstLine="0"/>
              <w:rPr>
                <w:b/>
                <w:bCs/>
              </w:rPr>
            </w:pPr>
          </w:p>
        </w:tc>
      </w:tr>
      <w:tr w:rsidR="00CE5525" w14:paraId="536424D4" w14:textId="77777777">
        <w:tc>
          <w:tcPr>
            <w:tcW w:w="1283" w:type="dxa"/>
            <w:tcBorders>
              <w:top w:val="single" w:sz="6" w:space="0" w:color="auto"/>
              <w:left w:val="single" w:sz="12" w:space="0" w:color="auto"/>
              <w:bottom w:val="single" w:sz="6" w:space="0" w:color="auto"/>
              <w:right w:val="single" w:sz="6" w:space="0" w:color="auto"/>
            </w:tcBorders>
          </w:tcPr>
          <w:p w14:paraId="1AFD7F90" w14:textId="77777777" w:rsidR="00CE5525" w:rsidRDefault="00CE5525">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A1364F3" w14:textId="77777777" w:rsidR="00CE5525" w:rsidRDefault="00CE5525">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5146325" w14:textId="77777777" w:rsidR="00CE5525" w:rsidRDefault="00CE5525">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A2C4402" w14:textId="77777777" w:rsidR="00CE5525" w:rsidRDefault="00CE5525">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F39B1BB" w14:textId="77777777" w:rsidR="00CE5525" w:rsidRDefault="00CE5525">
            <w:pPr>
              <w:pStyle w:val="List"/>
              <w:ind w:left="0" w:firstLine="0"/>
              <w:rPr>
                <w:b/>
                <w:bCs/>
              </w:rPr>
            </w:pPr>
          </w:p>
        </w:tc>
      </w:tr>
      <w:tr w:rsidR="00CE5525" w14:paraId="4942B735" w14:textId="77777777">
        <w:tc>
          <w:tcPr>
            <w:tcW w:w="1283" w:type="dxa"/>
            <w:tcBorders>
              <w:top w:val="single" w:sz="6" w:space="0" w:color="auto"/>
              <w:left w:val="single" w:sz="12" w:space="0" w:color="auto"/>
              <w:bottom w:val="single" w:sz="12" w:space="0" w:color="auto"/>
              <w:right w:val="single" w:sz="6" w:space="0" w:color="auto"/>
            </w:tcBorders>
          </w:tcPr>
          <w:p w14:paraId="43E5C74F" w14:textId="77777777" w:rsidR="00CE5525" w:rsidRDefault="00CE5525">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611C09EC" w14:textId="77777777" w:rsidR="00CE5525" w:rsidRDefault="00CE5525">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0BB595FA" w14:textId="77777777" w:rsidR="00CE5525" w:rsidRDefault="00CE5525">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5047593B" w14:textId="77777777" w:rsidR="00CE5525" w:rsidRDefault="00CE5525">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5C371C3A" w14:textId="77777777" w:rsidR="00CE5525" w:rsidRDefault="00CE5525">
            <w:pPr>
              <w:pStyle w:val="List"/>
              <w:ind w:left="0" w:firstLine="0"/>
              <w:rPr>
                <w:b/>
                <w:bCs/>
              </w:rPr>
            </w:pPr>
          </w:p>
        </w:tc>
      </w:tr>
    </w:tbl>
    <w:p w14:paraId="1F7B59CD" w14:textId="77777777" w:rsidR="00CE5525" w:rsidRDefault="00CE5525">
      <w:pPr>
        <w:rPr>
          <w:rFonts w:ascii="Times New Roman" w:hAnsi="Times New Roman" w:cs="Times New Roman"/>
          <w:b/>
          <w:bCs/>
        </w:rPr>
      </w:pPr>
    </w:p>
    <w:p w14:paraId="5A30D660" w14:textId="77777777" w:rsidR="00CE5525" w:rsidRDefault="00CE5525">
      <w:pPr>
        <w:rPr>
          <w:rFonts w:ascii="Times New Roman" w:hAnsi="Times New Roman" w:cs="Times New Roman"/>
        </w:rPr>
      </w:pPr>
      <w:r>
        <w:rPr>
          <w:rFonts w:ascii="Times New Roman" w:hAnsi="Times New Roman" w:cs="Times New Roman"/>
          <w:b/>
          <w:bCs/>
        </w:rPr>
        <w:t>Note:</w:t>
      </w:r>
      <w:r>
        <w:rPr>
          <w:rFonts w:ascii="Times New Roman" w:hAnsi="Times New Roman" w:cs="Times New Roman"/>
        </w:rPr>
        <w:t xml:space="preserve">  Variations/waivers and associated equipment need only be scheduled once.  Refer to the workpaper where the details are scheduled and complete the last two columns of the above grid if walk-through procedures are affected.</w:t>
      </w:r>
    </w:p>
    <w:p w14:paraId="1E9D16F7" w14:textId="77777777" w:rsidR="00742123" w:rsidRDefault="00742123">
      <w:pPr>
        <w:rPr>
          <w:rFonts w:ascii="Times New Roman" w:hAnsi="Times New Roman" w:cs="Times New Roman"/>
        </w:rPr>
      </w:pPr>
    </w:p>
    <w:tbl>
      <w:tblPr>
        <w:tblW w:w="10722"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93"/>
        <w:gridCol w:w="9"/>
        <w:gridCol w:w="576"/>
        <w:gridCol w:w="576"/>
        <w:gridCol w:w="658"/>
        <w:gridCol w:w="5310"/>
      </w:tblGrid>
      <w:tr w:rsidR="00CE5525" w14:paraId="0B7E2E5A" w14:textId="77777777" w:rsidTr="00A11C0F">
        <w:trPr>
          <w:cantSplit/>
          <w:tblHeader/>
        </w:trPr>
        <w:tc>
          <w:tcPr>
            <w:tcW w:w="3602" w:type="dxa"/>
            <w:gridSpan w:val="2"/>
            <w:tcBorders>
              <w:top w:val="single" w:sz="6" w:space="0" w:color="000000"/>
              <w:bottom w:val="single" w:sz="6" w:space="0" w:color="000000"/>
              <w:right w:val="single" w:sz="6" w:space="0" w:color="000000"/>
            </w:tcBorders>
            <w:shd w:val="clear" w:color="auto" w:fill="E0E0E0"/>
          </w:tcPr>
          <w:p w14:paraId="0B86BF66" w14:textId="77777777" w:rsidR="00CE5525" w:rsidRDefault="00CE5525">
            <w:pPr>
              <w:pStyle w:val="List"/>
              <w:ind w:left="0" w:firstLine="0"/>
              <w:jc w:val="center"/>
              <w:rPr>
                <w:szCs w:val="18"/>
              </w:rPr>
            </w:pPr>
            <w:r>
              <w:rPr>
                <w:szCs w:val="18"/>
              </w:rPr>
              <w:t>Questions</w:t>
            </w:r>
          </w:p>
        </w:tc>
        <w:tc>
          <w:tcPr>
            <w:tcW w:w="576" w:type="dxa"/>
            <w:tcBorders>
              <w:top w:val="single" w:sz="6" w:space="0" w:color="000000"/>
              <w:left w:val="single" w:sz="6" w:space="0" w:color="000000"/>
              <w:bottom w:val="single" w:sz="6" w:space="0" w:color="000000"/>
              <w:right w:val="single" w:sz="6" w:space="0" w:color="000000"/>
            </w:tcBorders>
            <w:shd w:val="clear" w:color="auto" w:fill="E0E0E0"/>
          </w:tcPr>
          <w:p w14:paraId="4B697256" w14:textId="77777777" w:rsidR="00CE5525" w:rsidRDefault="00CE5525">
            <w:pPr>
              <w:pStyle w:val="List"/>
              <w:widowControl w:val="0"/>
              <w:ind w:left="0" w:firstLine="0"/>
              <w:jc w:val="center"/>
              <w:rPr>
                <w:szCs w:val="18"/>
              </w:rPr>
            </w:pPr>
            <w:r>
              <w:rPr>
                <w:szCs w:val="18"/>
              </w:rPr>
              <w:t>Yes</w:t>
            </w:r>
          </w:p>
        </w:tc>
        <w:tc>
          <w:tcPr>
            <w:tcW w:w="576" w:type="dxa"/>
            <w:tcBorders>
              <w:top w:val="single" w:sz="6" w:space="0" w:color="000000"/>
              <w:left w:val="single" w:sz="6" w:space="0" w:color="000000"/>
              <w:bottom w:val="single" w:sz="6" w:space="0" w:color="000000"/>
              <w:right w:val="single" w:sz="6" w:space="0" w:color="000000"/>
            </w:tcBorders>
            <w:shd w:val="clear" w:color="auto" w:fill="E0E0E0"/>
          </w:tcPr>
          <w:p w14:paraId="2754359E" w14:textId="77777777" w:rsidR="00CE5525" w:rsidRDefault="00CE5525">
            <w:pPr>
              <w:pStyle w:val="List"/>
              <w:ind w:left="0" w:firstLine="0"/>
              <w:jc w:val="center"/>
              <w:rPr>
                <w:szCs w:val="18"/>
              </w:rPr>
            </w:pPr>
            <w:r>
              <w:rPr>
                <w:szCs w:val="18"/>
              </w:rPr>
              <w:t>No</w:t>
            </w:r>
          </w:p>
        </w:tc>
        <w:tc>
          <w:tcPr>
            <w:tcW w:w="658" w:type="dxa"/>
            <w:tcBorders>
              <w:top w:val="single" w:sz="6" w:space="0" w:color="000000"/>
              <w:left w:val="single" w:sz="6" w:space="0" w:color="000000"/>
              <w:bottom w:val="single" w:sz="6" w:space="0" w:color="000000"/>
              <w:right w:val="single" w:sz="6" w:space="0" w:color="000000"/>
            </w:tcBorders>
            <w:shd w:val="clear" w:color="auto" w:fill="E0E0E0"/>
          </w:tcPr>
          <w:p w14:paraId="6499C936" w14:textId="77777777" w:rsidR="00CE5525" w:rsidRDefault="00CE5525">
            <w:pPr>
              <w:pStyle w:val="List"/>
              <w:ind w:left="0" w:firstLine="0"/>
              <w:jc w:val="center"/>
              <w:rPr>
                <w:szCs w:val="18"/>
              </w:rPr>
            </w:pPr>
            <w:r>
              <w:rPr>
                <w:szCs w:val="18"/>
              </w:rPr>
              <w:t>N/A</w:t>
            </w:r>
          </w:p>
        </w:tc>
        <w:tc>
          <w:tcPr>
            <w:tcW w:w="5310" w:type="dxa"/>
            <w:tcBorders>
              <w:top w:val="single" w:sz="6" w:space="0" w:color="000000"/>
              <w:left w:val="single" w:sz="6" w:space="0" w:color="000000"/>
              <w:bottom w:val="single" w:sz="6" w:space="0" w:color="000000"/>
              <w:right w:val="single" w:sz="6" w:space="0" w:color="000000"/>
            </w:tcBorders>
            <w:shd w:val="clear" w:color="auto" w:fill="E0E0E0"/>
          </w:tcPr>
          <w:p w14:paraId="7AC8FC26" w14:textId="77777777" w:rsidR="00CE5525" w:rsidRDefault="00CE5525">
            <w:pPr>
              <w:pStyle w:val="List"/>
              <w:ind w:left="0" w:firstLine="0"/>
              <w:jc w:val="center"/>
              <w:rPr>
                <w:szCs w:val="18"/>
              </w:rPr>
            </w:pPr>
            <w:r>
              <w:rPr>
                <w:szCs w:val="18"/>
              </w:rPr>
              <w:t>Comments, W/P Reference</w:t>
            </w:r>
          </w:p>
        </w:tc>
      </w:tr>
      <w:tr w:rsidR="00CE5525" w14:paraId="364F6333" w14:textId="77777777" w:rsidTr="00A11C0F">
        <w:trPr>
          <w:cantSplit/>
        </w:trPr>
        <w:tc>
          <w:tcPr>
            <w:tcW w:w="3602" w:type="dxa"/>
            <w:gridSpan w:val="2"/>
            <w:tcBorders>
              <w:top w:val="single" w:sz="6" w:space="0" w:color="000000"/>
              <w:bottom w:val="single" w:sz="6" w:space="0" w:color="000000"/>
              <w:right w:val="single" w:sz="6" w:space="0" w:color="000000"/>
            </w:tcBorders>
          </w:tcPr>
          <w:p w14:paraId="02C4DF95" w14:textId="25681361" w:rsidR="00950835" w:rsidRDefault="00CE5525" w:rsidP="004C1E84">
            <w:pPr>
              <w:pStyle w:val="List"/>
              <w:numPr>
                <w:ilvl w:val="0"/>
                <w:numId w:val="3"/>
              </w:numPr>
              <w:rPr>
                <w:szCs w:val="24"/>
              </w:rPr>
            </w:pPr>
            <w:r>
              <w:rPr>
                <w:szCs w:val="24"/>
              </w:rPr>
              <w:t xml:space="preserve">Review prior internal audit reports.  Schedule any relevant exceptions cited, including those cited by the </w:t>
            </w:r>
            <w:r w:rsidR="00AC6A73">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p w14:paraId="55C20309" w14:textId="77777777" w:rsidR="00161285" w:rsidRPr="00161285" w:rsidRDefault="00161285" w:rsidP="00161285">
            <w:pPr>
              <w:pStyle w:val="List"/>
              <w:ind w:firstLine="0"/>
              <w:rPr>
                <w:szCs w:val="24"/>
              </w:rPr>
            </w:pPr>
          </w:p>
        </w:tc>
        <w:tc>
          <w:tcPr>
            <w:tcW w:w="576" w:type="dxa"/>
            <w:tcBorders>
              <w:top w:val="single" w:sz="6" w:space="0" w:color="000000"/>
              <w:left w:val="single" w:sz="6" w:space="0" w:color="000000"/>
              <w:bottom w:val="single" w:sz="6" w:space="0" w:color="000000"/>
              <w:right w:val="single" w:sz="6" w:space="0" w:color="000000"/>
            </w:tcBorders>
          </w:tcPr>
          <w:p w14:paraId="0EFB5B0C" w14:textId="77777777" w:rsidR="00CE5525" w:rsidRDefault="00CE5525">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5BE09F9E" w14:textId="77777777" w:rsidR="00CE5525" w:rsidRDefault="00CE5525">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53585C72" w14:textId="77777777" w:rsidR="00CE5525" w:rsidRDefault="00CE5525">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7FDF5867" w14:textId="77777777" w:rsidR="00CE5525" w:rsidRDefault="00CE5525">
            <w:pPr>
              <w:jc w:val="center"/>
              <w:rPr>
                <w:rFonts w:ascii="Times New Roman" w:hAnsi="Times New Roman" w:cs="Times New Roman"/>
                <w:szCs w:val="24"/>
              </w:rPr>
            </w:pPr>
          </w:p>
        </w:tc>
      </w:tr>
      <w:tr w:rsidR="00CE5525" w14:paraId="4950E3FC" w14:textId="77777777" w:rsidTr="00A11C0F">
        <w:trPr>
          <w:cantSplit/>
        </w:trPr>
        <w:tc>
          <w:tcPr>
            <w:tcW w:w="3602" w:type="dxa"/>
            <w:gridSpan w:val="2"/>
            <w:tcBorders>
              <w:top w:val="single" w:sz="6" w:space="0" w:color="000000"/>
              <w:bottom w:val="single" w:sz="6" w:space="0" w:color="000000"/>
              <w:right w:val="single" w:sz="6" w:space="0" w:color="000000"/>
            </w:tcBorders>
          </w:tcPr>
          <w:p w14:paraId="1E9D7811" w14:textId="77777777" w:rsidR="00CE5525" w:rsidRDefault="00CE5525" w:rsidP="004C1E84">
            <w:pPr>
              <w:numPr>
                <w:ilvl w:val="0"/>
                <w:numId w:val="3"/>
              </w:numPr>
              <w:rPr>
                <w:rFonts w:ascii="Times New Roman" w:hAnsi="Times New Roman" w:cs="Times New Roman"/>
                <w:b/>
                <w:bCs/>
              </w:rPr>
            </w:pPr>
            <w:r>
              <w:rPr>
                <w:rFonts w:ascii="Times New Roman" w:hAnsi="Times New Roman" w:cs="Times New Roman"/>
                <w:szCs w:val="24"/>
              </w:rPr>
              <w:t>Complete the CPA MICS Compliance Checklist for Entertainment in accordance with the CPA MICS Compliance Reporting Requirements “Guidelines”</w:t>
            </w:r>
            <w:r>
              <w:t xml:space="preserve"> </w:t>
            </w:r>
            <w:r>
              <w:rPr>
                <w:rFonts w:ascii="Times New Roman" w:hAnsi="Times New Roman" w:cs="Times New Roman"/>
              </w:rPr>
              <w:t xml:space="preserve">and </w:t>
            </w:r>
            <w:r>
              <w:rPr>
                <w:rFonts w:ascii="Times New Roman" w:hAnsi="Times New Roman" w:cs="Times New Roman"/>
                <w:szCs w:val="24"/>
              </w:rPr>
              <w:t>Internal Audit Reporting Requirements “Guidelines”.</w:t>
            </w:r>
          </w:p>
          <w:p w14:paraId="1A13E42B" w14:textId="77777777" w:rsidR="00CE5525" w:rsidRDefault="00CE5525">
            <w:pPr>
              <w:rPr>
                <w:rFonts w:ascii="Times New Roman" w:hAnsi="Times New Roman" w:cs="Times New Roman"/>
                <w:b/>
                <w:bCs/>
              </w:rPr>
            </w:pPr>
          </w:p>
        </w:tc>
        <w:tc>
          <w:tcPr>
            <w:tcW w:w="576" w:type="dxa"/>
            <w:tcBorders>
              <w:top w:val="single" w:sz="6" w:space="0" w:color="000000"/>
              <w:left w:val="single" w:sz="6" w:space="0" w:color="000000"/>
              <w:bottom w:val="single" w:sz="6" w:space="0" w:color="000000"/>
              <w:right w:val="single" w:sz="6" w:space="0" w:color="000000"/>
            </w:tcBorders>
          </w:tcPr>
          <w:p w14:paraId="0824FDBF" w14:textId="77777777" w:rsidR="00CE5525" w:rsidRDefault="00CE5525">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0E273DBD" w14:textId="77777777" w:rsidR="00CE5525" w:rsidRDefault="00CE5525">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12783BBA" w14:textId="77777777" w:rsidR="00CE5525" w:rsidRDefault="00CE5525">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29980DA9" w14:textId="77777777" w:rsidR="00CE5525" w:rsidRDefault="00CE5525">
            <w:pPr>
              <w:jc w:val="center"/>
              <w:rPr>
                <w:rFonts w:ascii="Times New Roman" w:hAnsi="Times New Roman" w:cs="Times New Roman"/>
                <w:szCs w:val="24"/>
              </w:rPr>
            </w:pPr>
          </w:p>
        </w:tc>
      </w:tr>
      <w:tr w:rsidR="00CE5525" w14:paraId="42C950A2" w14:textId="77777777" w:rsidTr="00A11C0F">
        <w:trPr>
          <w:cantSplit/>
        </w:trPr>
        <w:tc>
          <w:tcPr>
            <w:tcW w:w="3602" w:type="dxa"/>
            <w:gridSpan w:val="2"/>
            <w:tcBorders>
              <w:top w:val="single" w:sz="6" w:space="0" w:color="000000"/>
              <w:bottom w:val="single" w:sz="6" w:space="0" w:color="000000"/>
              <w:right w:val="single" w:sz="6" w:space="0" w:color="000000"/>
            </w:tcBorders>
          </w:tcPr>
          <w:p w14:paraId="3F472159" w14:textId="77777777" w:rsidR="00CE5525" w:rsidRDefault="00CC49E3" w:rsidP="00950835">
            <w:pPr>
              <w:pStyle w:val="List"/>
              <w:ind w:left="335"/>
              <w:rPr>
                <w:szCs w:val="24"/>
              </w:rPr>
            </w:pPr>
            <w:r>
              <w:rPr>
                <w:szCs w:val="24"/>
              </w:rPr>
              <w:lastRenderedPageBreak/>
              <w:t xml:space="preserve">3.    </w:t>
            </w:r>
            <w:r w:rsidR="00CE5525">
              <w:rPr>
                <w:szCs w:val="24"/>
              </w:rPr>
              <w:t xml:space="preserve">Complete the “Entertainment Area Evaluation Form” and inquire with accounting/audit personnel to determine </w:t>
            </w:r>
            <w:r w:rsidR="00742123">
              <w:rPr>
                <w:szCs w:val="24"/>
              </w:rPr>
              <w:t xml:space="preserve">that all </w:t>
            </w:r>
            <w:r w:rsidR="00CE5525">
              <w:rPr>
                <w:szCs w:val="24"/>
              </w:rPr>
              <w:t xml:space="preserve">areas subject to </w:t>
            </w:r>
            <w:r w:rsidR="00742123">
              <w:rPr>
                <w:szCs w:val="24"/>
              </w:rPr>
              <w:t xml:space="preserve">live </w:t>
            </w:r>
            <w:r w:rsidR="00CE5525">
              <w:rPr>
                <w:szCs w:val="24"/>
              </w:rPr>
              <w:t>entertainment tax</w:t>
            </w:r>
            <w:r w:rsidR="00742123">
              <w:rPr>
                <w:szCs w:val="24"/>
              </w:rPr>
              <w:t xml:space="preserve"> have been properly reported.  </w:t>
            </w:r>
            <w:r w:rsidR="00CE5525">
              <w:rPr>
                <w:szCs w:val="24"/>
              </w:rPr>
              <w:t xml:space="preserve">Are taxes being collected and paid </w:t>
            </w:r>
            <w:r w:rsidR="00306E4D">
              <w:rPr>
                <w:szCs w:val="24"/>
              </w:rPr>
              <w:t xml:space="preserve">on admission charges </w:t>
            </w:r>
            <w:r w:rsidR="00CE5525">
              <w:rPr>
                <w:szCs w:val="24"/>
              </w:rPr>
              <w:t>for all areas</w:t>
            </w:r>
            <w:r w:rsidR="00306E4D">
              <w:rPr>
                <w:szCs w:val="24"/>
              </w:rPr>
              <w:t xml:space="preserve"> determined to be</w:t>
            </w:r>
            <w:r w:rsidR="00CE5525">
              <w:rPr>
                <w:szCs w:val="24"/>
              </w:rPr>
              <w:t xml:space="preserve"> subject to live entertainment tax?</w:t>
            </w:r>
          </w:p>
          <w:p w14:paraId="26D73544" w14:textId="77777777" w:rsidR="00CE5525" w:rsidRPr="00ED7BAD" w:rsidRDefault="00CE5525">
            <w:pPr>
              <w:pStyle w:val="List"/>
              <w:ind w:left="0" w:firstLine="0"/>
              <w:rPr>
                <w:szCs w:val="24"/>
              </w:rPr>
            </w:pPr>
          </w:p>
        </w:tc>
        <w:tc>
          <w:tcPr>
            <w:tcW w:w="576" w:type="dxa"/>
            <w:tcBorders>
              <w:top w:val="single" w:sz="6" w:space="0" w:color="000000"/>
              <w:left w:val="single" w:sz="6" w:space="0" w:color="000000"/>
              <w:bottom w:val="single" w:sz="6" w:space="0" w:color="000000"/>
              <w:right w:val="single" w:sz="6" w:space="0" w:color="000000"/>
            </w:tcBorders>
          </w:tcPr>
          <w:p w14:paraId="292334B1" w14:textId="77777777" w:rsidR="00CE5525" w:rsidRDefault="00CE5525">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46A92C9D" w14:textId="77777777" w:rsidR="00CE5525" w:rsidRDefault="00CE5525">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6321535B" w14:textId="77777777" w:rsidR="00CE5525" w:rsidRDefault="00CE5525">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1087BF79" w14:textId="77777777" w:rsidR="00CE5525" w:rsidRDefault="00CE5525">
            <w:pPr>
              <w:jc w:val="center"/>
              <w:rPr>
                <w:rFonts w:ascii="Times New Roman" w:hAnsi="Times New Roman" w:cs="Times New Roman"/>
                <w:szCs w:val="24"/>
              </w:rPr>
            </w:pPr>
          </w:p>
        </w:tc>
      </w:tr>
      <w:tr w:rsidR="00CE5525" w14:paraId="7938C86E" w14:textId="77777777" w:rsidTr="00A11C0F">
        <w:trPr>
          <w:cantSplit/>
        </w:trPr>
        <w:tc>
          <w:tcPr>
            <w:tcW w:w="3602" w:type="dxa"/>
            <w:gridSpan w:val="2"/>
            <w:tcBorders>
              <w:top w:val="single" w:sz="6" w:space="0" w:color="000000"/>
              <w:bottom w:val="single" w:sz="6" w:space="0" w:color="000000"/>
              <w:right w:val="single" w:sz="6" w:space="0" w:color="000000"/>
            </w:tcBorders>
          </w:tcPr>
          <w:p w14:paraId="40274239" w14:textId="77777777" w:rsidR="00725EEF" w:rsidRDefault="002F646F" w:rsidP="00725EEF">
            <w:pPr>
              <w:pStyle w:val="List"/>
              <w:ind w:left="-25" w:firstLine="0"/>
              <w:rPr>
                <w:b/>
                <w:szCs w:val="24"/>
              </w:rPr>
            </w:pPr>
            <w:r>
              <w:rPr>
                <w:b/>
                <w:szCs w:val="24"/>
              </w:rPr>
              <w:t>Nonr</w:t>
            </w:r>
            <w:r w:rsidR="00AE1DCB">
              <w:rPr>
                <w:b/>
                <w:szCs w:val="24"/>
              </w:rPr>
              <w:t>ecurring Entertainment and Special Event Areas</w:t>
            </w:r>
          </w:p>
          <w:p w14:paraId="3D2469B6" w14:textId="77777777" w:rsidR="00725EEF" w:rsidRPr="002F646F" w:rsidRDefault="00725EEF" w:rsidP="002F646F">
            <w:pPr>
              <w:pStyle w:val="List"/>
              <w:ind w:left="0" w:firstLine="0"/>
              <w:rPr>
                <w:sz w:val="22"/>
                <w:szCs w:val="24"/>
              </w:rPr>
            </w:pPr>
          </w:p>
          <w:p w14:paraId="38F83F43" w14:textId="77777777" w:rsidR="00CE5525" w:rsidRDefault="000D45BF" w:rsidP="00AE1DCB">
            <w:pPr>
              <w:pStyle w:val="List"/>
              <w:ind w:left="335" w:hanging="335"/>
              <w:rPr>
                <w:szCs w:val="24"/>
              </w:rPr>
            </w:pPr>
            <w:r>
              <w:rPr>
                <w:szCs w:val="24"/>
              </w:rPr>
              <w:t>4.</w:t>
            </w:r>
            <w:r w:rsidR="00AE1DCB">
              <w:rPr>
                <w:szCs w:val="24"/>
              </w:rPr>
              <w:t xml:space="preserve">    </w:t>
            </w:r>
            <w:r w:rsidR="004316F6">
              <w:rPr>
                <w:szCs w:val="24"/>
              </w:rPr>
              <w:t>For areas with nonrecurring entertainment (</w:t>
            </w:r>
            <w:r w:rsidR="00CE5525" w:rsidRPr="00D557EA">
              <w:rPr>
                <w:szCs w:val="24"/>
              </w:rPr>
              <w:t xml:space="preserve">e.g., </w:t>
            </w:r>
            <w:r w:rsidR="002F646F">
              <w:rPr>
                <w:szCs w:val="24"/>
              </w:rPr>
              <w:t>b</w:t>
            </w:r>
            <w:r w:rsidR="005E1428">
              <w:rPr>
                <w:szCs w:val="24"/>
              </w:rPr>
              <w:t xml:space="preserve">ar with free nightly entertainment, </w:t>
            </w:r>
            <w:r w:rsidR="002F646F">
              <w:rPr>
                <w:szCs w:val="24"/>
              </w:rPr>
              <w:t>where</w:t>
            </w:r>
            <w:r w:rsidR="005E1428">
              <w:rPr>
                <w:szCs w:val="24"/>
              </w:rPr>
              <w:t xml:space="preserve"> an admission charge </w:t>
            </w:r>
            <w:r w:rsidR="002F646F">
              <w:rPr>
                <w:szCs w:val="24"/>
              </w:rPr>
              <w:t xml:space="preserve">is imposed </w:t>
            </w:r>
            <w:r w:rsidR="005E1428">
              <w:rPr>
                <w:szCs w:val="24"/>
              </w:rPr>
              <w:t xml:space="preserve">for a </w:t>
            </w:r>
            <w:r w:rsidR="00CE5525" w:rsidRPr="00D557EA">
              <w:rPr>
                <w:szCs w:val="24"/>
              </w:rPr>
              <w:t>New Year’s Eve part</w:t>
            </w:r>
            <w:r w:rsidR="005E1428">
              <w:rPr>
                <w:szCs w:val="24"/>
              </w:rPr>
              <w:t>y</w:t>
            </w:r>
            <w:r w:rsidR="00CE5525" w:rsidRPr="00D557EA">
              <w:rPr>
                <w:szCs w:val="24"/>
              </w:rPr>
              <w:t>), determine that admission</w:t>
            </w:r>
            <w:r w:rsidR="00633CAD">
              <w:rPr>
                <w:szCs w:val="24"/>
              </w:rPr>
              <w:t xml:space="preserve"> charges</w:t>
            </w:r>
            <w:r w:rsidR="00CE5525" w:rsidRPr="00D557EA">
              <w:rPr>
                <w:szCs w:val="24"/>
              </w:rPr>
              <w:t xml:space="preserve"> subject to entertainment tax have been </w:t>
            </w:r>
            <w:r w:rsidR="00FA6A33">
              <w:rPr>
                <w:szCs w:val="24"/>
              </w:rPr>
              <w:t xml:space="preserve">properly </w:t>
            </w:r>
            <w:r w:rsidR="00CE5525" w:rsidRPr="00D557EA">
              <w:rPr>
                <w:szCs w:val="24"/>
              </w:rPr>
              <w:t>reported.</w:t>
            </w:r>
          </w:p>
          <w:p w14:paraId="269FC682" w14:textId="77777777" w:rsidR="00CE5525" w:rsidRDefault="00CE5525">
            <w:pPr>
              <w:pStyle w:val="List"/>
              <w:ind w:left="0" w:firstLine="0"/>
              <w:rPr>
                <w:szCs w:val="24"/>
              </w:rPr>
            </w:pPr>
          </w:p>
        </w:tc>
        <w:tc>
          <w:tcPr>
            <w:tcW w:w="576" w:type="dxa"/>
            <w:tcBorders>
              <w:top w:val="single" w:sz="6" w:space="0" w:color="000000"/>
              <w:left w:val="single" w:sz="6" w:space="0" w:color="000000"/>
              <w:bottom w:val="single" w:sz="6" w:space="0" w:color="000000"/>
              <w:right w:val="single" w:sz="6" w:space="0" w:color="000000"/>
            </w:tcBorders>
          </w:tcPr>
          <w:p w14:paraId="5A8F228C" w14:textId="77777777" w:rsidR="00CE5525" w:rsidRDefault="00CE5525">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402D2CFA" w14:textId="77777777" w:rsidR="00CE5525" w:rsidRDefault="00CE5525">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20233DAD" w14:textId="77777777" w:rsidR="00CE5525" w:rsidRDefault="00CE5525">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0301DAF0" w14:textId="77777777" w:rsidR="00CE5525" w:rsidRDefault="00CE5525">
            <w:pPr>
              <w:jc w:val="center"/>
              <w:rPr>
                <w:rFonts w:ascii="Times New Roman" w:hAnsi="Times New Roman" w:cs="Times New Roman"/>
                <w:szCs w:val="24"/>
              </w:rPr>
            </w:pPr>
          </w:p>
        </w:tc>
      </w:tr>
      <w:tr w:rsidR="0027120F" w14:paraId="7B9D3FCA" w14:textId="77777777" w:rsidTr="00A11C0F">
        <w:trPr>
          <w:cantSplit/>
          <w:trHeight w:val="3297"/>
        </w:trPr>
        <w:tc>
          <w:tcPr>
            <w:tcW w:w="3593" w:type="dxa"/>
            <w:tcBorders>
              <w:top w:val="single" w:sz="6" w:space="0" w:color="000000"/>
              <w:bottom w:val="single" w:sz="6" w:space="0" w:color="000000"/>
              <w:right w:val="single" w:sz="6" w:space="0" w:color="000000"/>
            </w:tcBorders>
          </w:tcPr>
          <w:p w14:paraId="126E1A5A" w14:textId="5C25B3DD" w:rsidR="0090139C" w:rsidRPr="00B97399" w:rsidRDefault="000D45BF" w:rsidP="00475C95">
            <w:pPr>
              <w:pStyle w:val="List"/>
              <w:rPr>
                <w:sz w:val="14"/>
                <w:szCs w:val="24"/>
              </w:rPr>
            </w:pPr>
            <w:r>
              <w:rPr>
                <w:szCs w:val="24"/>
              </w:rPr>
              <w:t>5</w:t>
            </w:r>
            <w:r w:rsidR="0090139C">
              <w:rPr>
                <w:szCs w:val="24"/>
              </w:rPr>
              <w:t xml:space="preserve">.    </w:t>
            </w:r>
            <w:r w:rsidR="00725EEF">
              <w:rPr>
                <w:szCs w:val="24"/>
              </w:rPr>
              <w:t xml:space="preserve">Does the licensee </w:t>
            </w:r>
            <w:r w:rsidR="00DD6E89">
              <w:rPr>
                <w:szCs w:val="24"/>
              </w:rPr>
              <w:t xml:space="preserve">or operator </w:t>
            </w:r>
            <w:r w:rsidR="00725EEF">
              <w:rPr>
                <w:szCs w:val="24"/>
              </w:rPr>
              <w:t xml:space="preserve">conduct or have they conducted any special events </w:t>
            </w:r>
            <w:r w:rsidR="002F646F">
              <w:rPr>
                <w:szCs w:val="24"/>
              </w:rPr>
              <w:t xml:space="preserve">with entertainment </w:t>
            </w:r>
            <w:r w:rsidR="00725EEF">
              <w:rPr>
                <w:szCs w:val="24"/>
              </w:rPr>
              <w:t xml:space="preserve">in areas where entertainment is not typically offered (i.e., parking lots, atriums, bowling alleys, etc.) </w:t>
            </w:r>
            <w:r w:rsidR="00725EEF" w:rsidRPr="008477AB">
              <w:rPr>
                <w:szCs w:val="24"/>
              </w:rPr>
              <w:t xml:space="preserve">that </w:t>
            </w:r>
            <w:r w:rsidR="00335262" w:rsidRPr="008477AB">
              <w:rPr>
                <w:szCs w:val="24"/>
              </w:rPr>
              <w:t>require</w:t>
            </w:r>
            <w:r w:rsidR="00335262">
              <w:rPr>
                <w:szCs w:val="24"/>
              </w:rPr>
              <w:t xml:space="preserve"> an admission charge? </w:t>
            </w:r>
            <w:r w:rsidR="00475C95">
              <w:rPr>
                <w:szCs w:val="24"/>
              </w:rPr>
              <w:t xml:space="preserve"> </w:t>
            </w:r>
            <w:r w:rsidR="00374F93">
              <w:rPr>
                <w:b/>
                <w:szCs w:val="24"/>
              </w:rPr>
              <w:t xml:space="preserve">Inquire with various licensee personnel.  </w:t>
            </w:r>
            <w:r w:rsidR="00335262">
              <w:rPr>
                <w:szCs w:val="24"/>
              </w:rPr>
              <w:t xml:space="preserve">If </w:t>
            </w:r>
            <w:r w:rsidR="002C30AC">
              <w:rPr>
                <w:szCs w:val="24"/>
              </w:rPr>
              <w:t>so</w:t>
            </w:r>
            <w:r w:rsidR="00335262">
              <w:rPr>
                <w:szCs w:val="24"/>
              </w:rPr>
              <w:t xml:space="preserve">, determine that admission charges </w:t>
            </w:r>
            <w:r w:rsidR="00725EEF">
              <w:rPr>
                <w:szCs w:val="24"/>
              </w:rPr>
              <w:t xml:space="preserve">subject to entertainment tax have been </w:t>
            </w:r>
            <w:r w:rsidR="00FA6A33">
              <w:rPr>
                <w:szCs w:val="24"/>
              </w:rPr>
              <w:t xml:space="preserve">properly </w:t>
            </w:r>
            <w:r w:rsidR="00725EEF">
              <w:rPr>
                <w:szCs w:val="24"/>
              </w:rPr>
              <w:t>reported.</w:t>
            </w:r>
            <w:r w:rsidR="00ED7BAD">
              <w:rPr>
                <w:szCs w:val="24"/>
              </w:rPr>
              <w:t xml:space="preserve">  </w:t>
            </w:r>
            <w:r w:rsidR="00725EEF" w:rsidRPr="00335262">
              <w:rPr>
                <w:b/>
                <w:szCs w:val="24"/>
              </w:rPr>
              <w:t>[</w:t>
            </w:r>
            <w:r w:rsidR="00725EEF" w:rsidRPr="00335262">
              <w:rPr>
                <w:b/>
                <w:bCs/>
                <w:szCs w:val="24"/>
              </w:rPr>
              <w:t>NRS 368A.200(1)</w:t>
            </w:r>
            <w:r w:rsidR="00335262" w:rsidRPr="00335262">
              <w:rPr>
                <w:b/>
                <w:bCs/>
                <w:szCs w:val="24"/>
              </w:rPr>
              <w:t>]</w:t>
            </w:r>
            <w:r w:rsidR="00725EEF">
              <w:rPr>
                <w:szCs w:val="24"/>
              </w:rPr>
              <w:t xml:space="preserve">  </w:t>
            </w:r>
            <w:r w:rsidR="00374F93">
              <w:rPr>
                <w:b/>
                <w:bCs/>
                <w:szCs w:val="24"/>
              </w:rPr>
              <w:t>Document any such events.</w:t>
            </w:r>
          </w:p>
        </w:tc>
        <w:tc>
          <w:tcPr>
            <w:tcW w:w="585" w:type="dxa"/>
            <w:gridSpan w:val="2"/>
            <w:tcBorders>
              <w:top w:val="single" w:sz="6" w:space="0" w:color="000000"/>
              <w:left w:val="single" w:sz="6" w:space="0" w:color="000000"/>
              <w:bottom w:val="single" w:sz="6" w:space="0" w:color="000000"/>
              <w:right w:val="single" w:sz="6" w:space="0" w:color="000000"/>
            </w:tcBorders>
          </w:tcPr>
          <w:p w14:paraId="24F5B8F4" w14:textId="77777777" w:rsidR="0027120F" w:rsidRDefault="0027120F">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01C51C58" w14:textId="77777777" w:rsidR="0027120F" w:rsidRDefault="0027120F">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01DD1C30" w14:textId="77777777" w:rsidR="0027120F" w:rsidRDefault="0027120F">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1A8F041B" w14:textId="77777777" w:rsidR="0027120F" w:rsidRDefault="0027120F">
            <w:pPr>
              <w:jc w:val="center"/>
              <w:rPr>
                <w:rFonts w:ascii="Times New Roman" w:hAnsi="Times New Roman" w:cs="Times New Roman"/>
                <w:szCs w:val="24"/>
              </w:rPr>
            </w:pPr>
          </w:p>
        </w:tc>
      </w:tr>
      <w:tr w:rsidR="000D45BF" w14:paraId="2B3C9AFD" w14:textId="77777777" w:rsidTr="00A11C0F">
        <w:trPr>
          <w:cantSplit/>
        </w:trPr>
        <w:tc>
          <w:tcPr>
            <w:tcW w:w="3602" w:type="dxa"/>
            <w:gridSpan w:val="2"/>
            <w:tcBorders>
              <w:top w:val="single" w:sz="6" w:space="0" w:color="000000"/>
              <w:bottom w:val="single" w:sz="6" w:space="0" w:color="000000"/>
              <w:right w:val="single" w:sz="6" w:space="0" w:color="000000"/>
            </w:tcBorders>
          </w:tcPr>
          <w:p w14:paraId="5AA5259B" w14:textId="77777777" w:rsidR="000D45BF" w:rsidRDefault="000D45BF" w:rsidP="002F646F">
            <w:pPr>
              <w:pStyle w:val="List"/>
              <w:ind w:left="-25" w:firstLine="0"/>
              <w:rPr>
                <w:b/>
                <w:szCs w:val="24"/>
              </w:rPr>
            </w:pPr>
            <w:r w:rsidRPr="00E1026B">
              <w:rPr>
                <w:b/>
                <w:szCs w:val="24"/>
              </w:rPr>
              <w:lastRenderedPageBreak/>
              <w:t>Luxury Suites, Box</w:t>
            </w:r>
            <w:r w:rsidR="002F646F">
              <w:rPr>
                <w:b/>
                <w:szCs w:val="24"/>
              </w:rPr>
              <w:t>es</w:t>
            </w:r>
            <w:r w:rsidRPr="00E1026B">
              <w:rPr>
                <w:b/>
                <w:szCs w:val="24"/>
              </w:rPr>
              <w:t xml:space="preserve"> or Similar Products</w:t>
            </w:r>
          </w:p>
          <w:p w14:paraId="0CA09170" w14:textId="77777777" w:rsidR="000D45BF" w:rsidRDefault="000D45BF" w:rsidP="0090139C">
            <w:pPr>
              <w:pStyle w:val="List"/>
              <w:ind w:left="335"/>
              <w:rPr>
                <w:b/>
                <w:szCs w:val="24"/>
              </w:rPr>
            </w:pPr>
          </w:p>
          <w:p w14:paraId="06F83F45" w14:textId="659182F8" w:rsidR="000D45BF" w:rsidRDefault="000D45BF" w:rsidP="000D45BF">
            <w:pPr>
              <w:pStyle w:val="List"/>
              <w:ind w:left="335"/>
              <w:rPr>
                <w:b/>
                <w:szCs w:val="24"/>
              </w:rPr>
            </w:pPr>
            <w:r>
              <w:rPr>
                <w:szCs w:val="24"/>
              </w:rPr>
              <w:t xml:space="preserve">6.  </w:t>
            </w:r>
            <w:r w:rsidRPr="000D45BF">
              <w:rPr>
                <w:szCs w:val="24"/>
              </w:rPr>
              <w:tab/>
              <w:t xml:space="preserve">For facilities with a maximum occupancy of at least 7,500 persons, is the </w:t>
            </w:r>
            <w:r w:rsidR="001B4002">
              <w:rPr>
                <w:szCs w:val="24"/>
              </w:rPr>
              <w:t xml:space="preserve">taxable </w:t>
            </w:r>
            <w:r w:rsidRPr="000D45BF">
              <w:rPr>
                <w:szCs w:val="24"/>
              </w:rPr>
              <w:t>amount equal to the lowest price</w:t>
            </w:r>
            <w:r w:rsidR="009D703B">
              <w:rPr>
                <w:szCs w:val="24"/>
              </w:rPr>
              <w:t>d</w:t>
            </w:r>
            <w:r w:rsidRPr="000D45BF">
              <w:rPr>
                <w:szCs w:val="24"/>
              </w:rPr>
              <w:t xml:space="preserve"> admission</w:t>
            </w:r>
            <w:r w:rsidR="001B4002">
              <w:rPr>
                <w:szCs w:val="24"/>
              </w:rPr>
              <w:t xml:space="preserve"> charge</w:t>
            </w:r>
            <w:r w:rsidRPr="000D45BF">
              <w:rPr>
                <w:szCs w:val="24"/>
              </w:rPr>
              <w:t xml:space="preserve"> available to the general public multiplied by the number of admissions included in the license or rental fee</w:t>
            </w:r>
            <w:r w:rsidR="009D703B">
              <w:rPr>
                <w:szCs w:val="24"/>
              </w:rPr>
              <w:t>, regardless of the number of admissions utilized for the live entertainment event</w:t>
            </w:r>
            <w:r w:rsidRPr="000D45BF">
              <w:rPr>
                <w:szCs w:val="24"/>
              </w:rPr>
              <w:t>?</w:t>
            </w:r>
            <w:r w:rsidR="003D45AF">
              <w:rPr>
                <w:szCs w:val="24"/>
              </w:rPr>
              <w:t xml:space="preserve">  </w:t>
            </w:r>
            <w:r w:rsidRPr="000D45BF">
              <w:rPr>
                <w:b/>
                <w:szCs w:val="24"/>
              </w:rPr>
              <w:t>[NAC 368A.</w:t>
            </w:r>
            <w:r w:rsidR="00C669D1">
              <w:rPr>
                <w:b/>
                <w:szCs w:val="24"/>
              </w:rPr>
              <w:t>143</w:t>
            </w:r>
            <w:r w:rsidRPr="000D45BF">
              <w:rPr>
                <w:b/>
                <w:szCs w:val="24"/>
              </w:rPr>
              <w:t>]</w:t>
            </w:r>
          </w:p>
          <w:p w14:paraId="7C9FFBC6" w14:textId="77777777" w:rsidR="000D45BF" w:rsidRPr="000D45BF" w:rsidRDefault="000D45BF" w:rsidP="000D45BF">
            <w:pPr>
              <w:pStyle w:val="List"/>
              <w:ind w:left="335"/>
              <w:rPr>
                <w:szCs w:val="24"/>
              </w:rPr>
            </w:pPr>
          </w:p>
        </w:tc>
        <w:tc>
          <w:tcPr>
            <w:tcW w:w="576" w:type="dxa"/>
            <w:tcBorders>
              <w:top w:val="single" w:sz="6" w:space="0" w:color="000000"/>
              <w:left w:val="single" w:sz="6" w:space="0" w:color="000000"/>
              <w:bottom w:val="single" w:sz="6" w:space="0" w:color="000000"/>
              <w:right w:val="single" w:sz="6" w:space="0" w:color="000000"/>
            </w:tcBorders>
          </w:tcPr>
          <w:p w14:paraId="208AE699" w14:textId="77777777" w:rsidR="000D45BF" w:rsidRDefault="000D45BF">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0BBD453D" w14:textId="77777777" w:rsidR="000D45BF" w:rsidRDefault="000D45BF">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7715FDD6" w14:textId="77777777" w:rsidR="000D45BF" w:rsidRDefault="000D45BF">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21B8024A" w14:textId="77777777" w:rsidR="000D45BF" w:rsidRDefault="000D45BF">
            <w:pPr>
              <w:jc w:val="center"/>
              <w:rPr>
                <w:rFonts w:ascii="Times New Roman" w:hAnsi="Times New Roman" w:cs="Times New Roman"/>
                <w:szCs w:val="24"/>
              </w:rPr>
            </w:pPr>
          </w:p>
        </w:tc>
      </w:tr>
      <w:tr w:rsidR="00150A5B" w14:paraId="093D6BBC" w14:textId="77777777" w:rsidTr="00A11C0F">
        <w:trPr>
          <w:cantSplit/>
        </w:trPr>
        <w:tc>
          <w:tcPr>
            <w:tcW w:w="3602" w:type="dxa"/>
            <w:gridSpan w:val="2"/>
            <w:tcBorders>
              <w:top w:val="single" w:sz="6" w:space="0" w:color="000000"/>
              <w:bottom w:val="single" w:sz="6" w:space="0" w:color="000000"/>
              <w:right w:val="single" w:sz="6" w:space="0" w:color="000000"/>
            </w:tcBorders>
          </w:tcPr>
          <w:p w14:paraId="4F12A809" w14:textId="7D4DF75F" w:rsidR="00150A5B" w:rsidRDefault="00150A5B" w:rsidP="000D45BF">
            <w:pPr>
              <w:pStyle w:val="List"/>
              <w:numPr>
                <w:ilvl w:val="0"/>
                <w:numId w:val="10"/>
              </w:numPr>
              <w:rPr>
                <w:szCs w:val="24"/>
              </w:rPr>
            </w:pPr>
            <w:r>
              <w:rPr>
                <w:szCs w:val="24"/>
              </w:rPr>
              <w:t xml:space="preserve">For facilities with a maximum occupancy of less than 7,500 persons, is the </w:t>
            </w:r>
            <w:r w:rsidR="009D703B">
              <w:rPr>
                <w:szCs w:val="24"/>
              </w:rPr>
              <w:t xml:space="preserve">taxable </w:t>
            </w:r>
            <w:r>
              <w:rPr>
                <w:szCs w:val="24"/>
              </w:rPr>
              <w:t xml:space="preserve">amount equal to the entire amount of </w:t>
            </w:r>
            <w:r w:rsidR="009D703B">
              <w:rPr>
                <w:szCs w:val="24"/>
              </w:rPr>
              <w:t xml:space="preserve">the </w:t>
            </w:r>
            <w:r>
              <w:rPr>
                <w:szCs w:val="24"/>
              </w:rPr>
              <w:t xml:space="preserve">proceeds </w:t>
            </w:r>
            <w:r w:rsidR="009D703B">
              <w:rPr>
                <w:szCs w:val="24"/>
              </w:rPr>
              <w:t xml:space="preserve">from </w:t>
            </w:r>
            <w:r>
              <w:rPr>
                <w:szCs w:val="24"/>
              </w:rPr>
              <w:t xml:space="preserve">the license or rental fee?  </w:t>
            </w:r>
            <w:r>
              <w:rPr>
                <w:b/>
                <w:bCs/>
                <w:szCs w:val="24"/>
              </w:rPr>
              <w:t>[NAC 368A.</w:t>
            </w:r>
            <w:r w:rsidR="00C669D1">
              <w:rPr>
                <w:b/>
                <w:bCs/>
                <w:szCs w:val="24"/>
              </w:rPr>
              <w:t>143</w:t>
            </w:r>
            <w:r w:rsidRPr="00D34980">
              <w:rPr>
                <w:b/>
                <w:bCs/>
                <w:szCs w:val="24"/>
              </w:rPr>
              <w:t>]</w:t>
            </w:r>
            <w:r>
              <w:rPr>
                <w:b/>
                <w:bCs/>
                <w:szCs w:val="24"/>
              </w:rPr>
              <w:t xml:space="preserve"> </w:t>
            </w:r>
          </w:p>
          <w:p w14:paraId="19C55017" w14:textId="77777777" w:rsidR="00150A5B" w:rsidRPr="00E1026B" w:rsidRDefault="00150A5B" w:rsidP="00150A5B">
            <w:pPr>
              <w:rPr>
                <w:rFonts w:ascii="Times New Roman" w:hAnsi="Times New Roman" w:cs="Times New Roman"/>
                <w:b/>
                <w:szCs w:val="24"/>
              </w:rPr>
            </w:pPr>
          </w:p>
        </w:tc>
        <w:tc>
          <w:tcPr>
            <w:tcW w:w="576" w:type="dxa"/>
            <w:tcBorders>
              <w:top w:val="single" w:sz="6" w:space="0" w:color="000000"/>
              <w:left w:val="single" w:sz="6" w:space="0" w:color="000000"/>
              <w:bottom w:val="single" w:sz="6" w:space="0" w:color="000000"/>
              <w:right w:val="single" w:sz="6" w:space="0" w:color="000000"/>
            </w:tcBorders>
          </w:tcPr>
          <w:p w14:paraId="419E4EA2" w14:textId="77777777" w:rsidR="00150A5B" w:rsidRDefault="00150A5B">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713B733E" w14:textId="77777777" w:rsidR="00150A5B" w:rsidRDefault="00150A5B">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10C0FBED" w14:textId="77777777" w:rsidR="00150A5B" w:rsidRDefault="00150A5B">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568D63E0" w14:textId="77777777" w:rsidR="00150A5B" w:rsidRDefault="00150A5B">
            <w:pPr>
              <w:jc w:val="center"/>
              <w:rPr>
                <w:rFonts w:ascii="Times New Roman" w:hAnsi="Times New Roman" w:cs="Times New Roman"/>
                <w:szCs w:val="24"/>
              </w:rPr>
            </w:pPr>
          </w:p>
        </w:tc>
      </w:tr>
      <w:tr w:rsidR="00150A5B" w14:paraId="37DB4E5B" w14:textId="77777777" w:rsidTr="00A11C0F">
        <w:trPr>
          <w:cantSplit/>
        </w:trPr>
        <w:tc>
          <w:tcPr>
            <w:tcW w:w="3602" w:type="dxa"/>
            <w:gridSpan w:val="2"/>
            <w:tcBorders>
              <w:top w:val="single" w:sz="6" w:space="0" w:color="000000"/>
              <w:bottom w:val="single" w:sz="6" w:space="0" w:color="000000"/>
              <w:right w:val="single" w:sz="6" w:space="0" w:color="000000"/>
            </w:tcBorders>
          </w:tcPr>
          <w:p w14:paraId="145AB93B" w14:textId="4B943A81" w:rsidR="00150A5B" w:rsidRDefault="00150A5B" w:rsidP="004C1E84">
            <w:pPr>
              <w:pStyle w:val="List"/>
              <w:numPr>
                <w:ilvl w:val="0"/>
                <w:numId w:val="10"/>
              </w:numPr>
              <w:rPr>
                <w:szCs w:val="24"/>
              </w:rPr>
            </w:pPr>
            <w:r>
              <w:rPr>
                <w:szCs w:val="24"/>
              </w:rPr>
              <w:t xml:space="preserve">If an </w:t>
            </w:r>
            <w:r w:rsidRPr="004C1E84">
              <w:rPr>
                <w:i/>
                <w:szCs w:val="24"/>
              </w:rPr>
              <w:t>alternative method</w:t>
            </w:r>
            <w:r>
              <w:rPr>
                <w:szCs w:val="24"/>
              </w:rPr>
              <w:t xml:space="preserve"> was approved by the Chair and is used for calculating the </w:t>
            </w:r>
            <w:r w:rsidR="009D703B">
              <w:rPr>
                <w:szCs w:val="24"/>
              </w:rPr>
              <w:t xml:space="preserve">taxable amount, </w:t>
            </w:r>
            <w:r>
              <w:rPr>
                <w:szCs w:val="24"/>
              </w:rPr>
              <w:t xml:space="preserve">determine </w:t>
            </w:r>
            <w:r w:rsidR="009D703B">
              <w:rPr>
                <w:szCs w:val="24"/>
              </w:rPr>
              <w:t xml:space="preserve">that </w:t>
            </w:r>
            <w:r>
              <w:rPr>
                <w:szCs w:val="24"/>
              </w:rPr>
              <w:t xml:space="preserve">the </w:t>
            </w:r>
            <w:r w:rsidR="009D703B">
              <w:rPr>
                <w:szCs w:val="24"/>
              </w:rPr>
              <w:t xml:space="preserve">correct </w:t>
            </w:r>
            <w:r>
              <w:rPr>
                <w:szCs w:val="24"/>
              </w:rPr>
              <w:t xml:space="preserve">amount has been reported.  </w:t>
            </w:r>
            <w:r>
              <w:rPr>
                <w:b/>
                <w:bCs/>
                <w:szCs w:val="24"/>
              </w:rPr>
              <w:t>[NAC 368A.</w:t>
            </w:r>
            <w:r w:rsidR="00C166BC">
              <w:rPr>
                <w:b/>
                <w:bCs/>
                <w:szCs w:val="24"/>
              </w:rPr>
              <w:t>410</w:t>
            </w:r>
            <w:r w:rsidRPr="00D34980">
              <w:rPr>
                <w:b/>
                <w:bCs/>
                <w:szCs w:val="24"/>
              </w:rPr>
              <w:t>]</w:t>
            </w:r>
            <w:r>
              <w:rPr>
                <w:b/>
                <w:bCs/>
                <w:szCs w:val="24"/>
              </w:rPr>
              <w:t xml:space="preserve"> </w:t>
            </w:r>
          </w:p>
          <w:p w14:paraId="7780CD2B" w14:textId="77777777" w:rsidR="00150A5B" w:rsidRDefault="00150A5B" w:rsidP="00B97399">
            <w:pPr>
              <w:pStyle w:val="List"/>
              <w:ind w:firstLine="0"/>
              <w:rPr>
                <w:szCs w:val="24"/>
              </w:rPr>
            </w:pPr>
          </w:p>
        </w:tc>
        <w:tc>
          <w:tcPr>
            <w:tcW w:w="576" w:type="dxa"/>
            <w:tcBorders>
              <w:top w:val="single" w:sz="6" w:space="0" w:color="000000"/>
              <w:left w:val="single" w:sz="6" w:space="0" w:color="000000"/>
              <w:bottom w:val="single" w:sz="6" w:space="0" w:color="000000"/>
              <w:right w:val="single" w:sz="6" w:space="0" w:color="000000"/>
            </w:tcBorders>
          </w:tcPr>
          <w:p w14:paraId="234BE86E" w14:textId="77777777" w:rsidR="00150A5B" w:rsidRDefault="00150A5B">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3220768A" w14:textId="77777777" w:rsidR="00150A5B" w:rsidRDefault="00150A5B">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227056EA" w14:textId="5671857A" w:rsidR="00150A5B" w:rsidRDefault="00150A5B">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4AC30D1F" w14:textId="77777777" w:rsidR="00150A5B" w:rsidRDefault="00150A5B">
            <w:pPr>
              <w:jc w:val="center"/>
              <w:rPr>
                <w:rFonts w:ascii="Times New Roman" w:hAnsi="Times New Roman" w:cs="Times New Roman"/>
                <w:szCs w:val="24"/>
              </w:rPr>
            </w:pPr>
          </w:p>
        </w:tc>
      </w:tr>
      <w:tr w:rsidR="005E1428" w14:paraId="5183AD78" w14:textId="77777777" w:rsidTr="00A11C0F">
        <w:trPr>
          <w:cantSplit/>
        </w:trPr>
        <w:tc>
          <w:tcPr>
            <w:tcW w:w="3602" w:type="dxa"/>
            <w:gridSpan w:val="2"/>
            <w:tcBorders>
              <w:top w:val="single" w:sz="6" w:space="0" w:color="000000"/>
              <w:bottom w:val="single" w:sz="6" w:space="0" w:color="000000"/>
              <w:right w:val="single" w:sz="6" w:space="0" w:color="000000"/>
            </w:tcBorders>
          </w:tcPr>
          <w:p w14:paraId="7D947B9F" w14:textId="77777777" w:rsidR="00131786" w:rsidRDefault="00131786" w:rsidP="00131786">
            <w:pPr>
              <w:rPr>
                <w:rFonts w:ascii="Times New Roman" w:hAnsi="Times New Roman" w:cs="Times New Roman"/>
                <w:b/>
                <w:bCs/>
                <w:szCs w:val="24"/>
              </w:rPr>
            </w:pPr>
            <w:r>
              <w:rPr>
                <w:rFonts w:ascii="Times New Roman" w:hAnsi="Times New Roman" w:cs="Times New Roman"/>
                <w:b/>
                <w:bCs/>
                <w:szCs w:val="24"/>
              </w:rPr>
              <w:t>Admission Charges - Controls and Records</w:t>
            </w:r>
          </w:p>
          <w:p w14:paraId="52961F30" w14:textId="77777777" w:rsidR="00131786" w:rsidRDefault="00131786" w:rsidP="00131786">
            <w:pPr>
              <w:pStyle w:val="List"/>
              <w:ind w:left="0" w:firstLine="0"/>
              <w:rPr>
                <w:bCs/>
                <w:szCs w:val="24"/>
              </w:rPr>
            </w:pPr>
          </w:p>
          <w:p w14:paraId="0F9DA314" w14:textId="5D243F1D" w:rsidR="002B1038" w:rsidRPr="00226FCE" w:rsidRDefault="002B1038" w:rsidP="00226FCE">
            <w:pPr>
              <w:pStyle w:val="List"/>
              <w:numPr>
                <w:ilvl w:val="0"/>
                <w:numId w:val="10"/>
              </w:numPr>
              <w:rPr>
                <w:bCs/>
                <w:szCs w:val="24"/>
              </w:rPr>
            </w:pPr>
            <w:r w:rsidRPr="005E1428">
              <w:rPr>
                <w:bCs/>
                <w:szCs w:val="24"/>
              </w:rPr>
              <w:t xml:space="preserve">Are any required minimum purchases of food, beverages or merchandise paid in exchange for admission to a facility where taxable live entertainment is provided?  If so, determine that these amounts were accounted for </w:t>
            </w:r>
            <w:r w:rsidR="009D703B">
              <w:rPr>
                <w:bCs/>
                <w:szCs w:val="24"/>
              </w:rPr>
              <w:t xml:space="preserve">solely </w:t>
            </w:r>
            <w:r w:rsidRPr="005E1428">
              <w:rPr>
                <w:bCs/>
                <w:szCs w:val="24"/>
              </w:rPr>
              <w:t xml:space="preserve">as part of the total amount reported as taxable admission charges. </w:t>
            </w:r>
            <w:r w:rsidR="009D703B">
              <w:rPr>
                <w:bCs/>
                <w:szCs w:val="24"/>
              </w:rPr>
              <w:t xml:space="preserve"> </w:t>
            </w:r>
            <w:r w:rsidRPr="00226FCE">
              <w:rPr>
                <w:b/>
                <w:bCs/>
                <w:szCs w:val="24"/>
              </w:rPr>
              <w:t>[NAC</w:t>
            </w:r>
            <w:r w:rsidR="009D703B" w:rsidRPr="00226FCE">
              <w:rPr>
                <w:b/>
                <w:bCs/>
                <w:szCs w:val="24"/>
              </w:rPr>
              <w:t xml:space="preserve"> </w:t>
            </w:r>
            <w:r w:rsidRPr="00226FCE">
              <w:rPr>
                <w:b/>
                <w:bCs/>
                <w:szCs w:val="24"/>
              </w:rPr>
              <w:t>368A.450(2)]</w:t>
            </w:r>
          </w:p>
          <w:p w14:paraId="2D85EBB1" w14:textId="77777777" w:rsidR="005E1428" w:rsidRDefault="005E1428" w:rsidP="002B1038">
            <w:pPr>
              <w:pStyle w:val="List"/>
              <w:ind w:firstLine="0"/>
              <w:rPr>
                <w:bCs/>
                <w:szCs w:val="24"/>
              </w:rPr>
            </w:pPr>
          </w:p>
        </w:tc>
        <w:tc>
          <w:tcPr>
            <w:tcW w:w="576" w:type="dxa"/>
            <w:tcBorders>
              <w:top w:val="single" w:sz="6" w:space="0" w:color="000000"/>
              <w:left w:val="single" w:sz="6" w:space="0" w:color="000000"/>
              <w:bottom w:val="single" w:sz="6" w:space="0" w:color="000000"/>
              <w:right w:val="single" w:sz="6" w:space="0" w:color="000000"/>
            </w:tcBorders>
          </w:tcPr>
          <w:p w14:paraId="05AFAC56" w14:textId="77777777" w:rsidR="005E1428" w:rsidRDefault="005E1428">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3F731A36" w14:textId="77777777" w:rsidR="005E1428" w:rsidRDefault="005E1428">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3DC16195" w14:textId="77777777" w:rsidR="005E1428" w:rsidRDefault="005E1428">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3EC97469" w14:textId="77777777" w:rsidR="005E1428" w:rsidRDefault="005E1428">
            <w:pPr>
              <w:jc w:val="center"/>
              <w:rPr>
                <w:rFonts w:ascii="Times New Roman" w:hAnsi="Times New Roman" w:cs="Times New Roman"/>
                <w:szCs w:val="24"/>
              </w:rPr>
            </w:pPr>
          </w:p>
        </w:tc>
      </w:tr>
      <w:tr w:rsidR="00351224" w14:paraId="12E964EC" w14:textId="77777777" w:rsidTr="00A11C0F">
        <w:trPr>
          <w:cantSplit/>
        </w:trPr>
        <w:tc>
          <w:tcPr>
            <w:tcW w:w="3602" w:type="dxa"/>
            <w:gridSpan w:val="2"/>
            <w:tcBorders>
              <w:top w:val="single" w:sz="6" w:space="0" w:color="000000"/>
              <w:bottom w:val="single" w:sz="6" w:space="0" w:color="000000"/>
              <w:right w:val="single" w:sz="6" w:space="0" w:color="000000"/>
            </w:tcBorders>
          </w:tcPr>
          <w:p w14:paraId="43A2BFD1" w14:textId="10953F82" w:rsidR="00351224" w:rsidRPr="00A83114" w:rsidRDefault="005B6AC0" w:rsidP="005B6AC0">
            <w:pPr>
              <w:pStyle w:val="List"/>
              <w:ind w:left="335" w:hanging="335"/>
              <w:rPr>
                <w:szCs w:val="24"/>
              </w:rPr>
            </w:pPr>
            <w:r>
              <w:rPr>
                <w:bCs/>
                <w:szCs w:val="24"/>
              </w:rPr>
              <w:lastRenderedPageBreak/>
              <w:t>1</w:t>
            </w:r>
            <w:r w:rsidR="00131786">
              <w:rPr>
                <w:bCs/>
                <w:szCs w:val="24"/>
              </w:rPr>
              <w:t>0</w:t>
            </w:r>
            <w:r>
              <w:rPr>
                <w:bCs/>
                <w:szCs w:val="24"/>
              </w:rPr>
              <w:t>.</w:t>
            </w:r>
            <w:r w:rsidRPr="005B6AC0">
              <w:rPr>
                <w:bCs/>
                <w:szCs w:val="24"/>
              </w:rPr>
              <w:t xml:space="preserve"> </w:t>
            </w:r>
            <w:r>
              <w:rPr>
                <w:bCs/>
                <w:szCs w:val="24"/>
              </w:rPr>
              <w:t xml:space="preserve"> </w:t>
            </w:r>
            <w:r w:rsidR="00351224">
              <w:rPr>
                <w:bCs/>
                <w:szCs w:val="24"/>
              </w:rPr>
              <w:t xml:space="preserve">Relating to the previous </w:t>
            </w:r>
            <w:r w:rsidR="002B1038">
              <w:rPr>
                <w:bCs/>
                <w:szCs w:val="24"/>
              </w:rPr>
              <w:t xml:space="preserve">two </w:t>
            </w:r>
            <w:r w:rsidR="00351224">
              <w:rPr>
                <w:bCs/>
                <w:szCs w:val="24"/>
              </w:rPr>
              <w:t>question</w:t>
            </w:r>
            <w:r w:rsidR="002B1038">
              <w:rPr>
                <w:bCs/>
                <w:szCs w:val="24"/>
              </w:rPr>
              <w:t>s</w:t>
            </w:r>
            <w:r w:rsidR="00351224">
              <w:rPr>
                <w:bCs/>
                <w:szCs w:val="24"/>
              </w:rPr>
              <w:t>, i</w:t>
            </w:r>
            <w:r w:rsidR="00351224" w:rsidRPr="00985C7F">
              <w:rPr>
                <w:bCs/>
                <w:szCs w:val="24"/>
              </w:rPr>
              <w:t>s the tax collected and remitted based on the admission charge shown or displayed?</w:t>
            </w:r>
            <w:r w:rsidR="00351224">
              <w:rPr>
                <w:b/>
                <w:bCs/>
                <w:szCs w:val="24"/>
              </w:rPr>
              <w:t xml:space="preserve"> </w:t>
            </w:r>
            <w:r w:rsidR="00606691">
              <w:rPr>
                <w:b/>
                <w:bCs/>
                <w:szCs w:val="24"/>
              </w:rPr>
              <w:t xml:space="preserve"> </w:t>
            </w:r>
            <w:r w:rsidR="00351224">
              <w:rPr>
                <w:b/>
                <w:bCs/>
                <w:szCs w:val="24"/>
              </w:rPr>
              <w:t>[NRS 368A.200(3) and NAC 368A.460(2)]</w:t>
            </w:r>
          </w:p>
          <w:p w14:paraId="55A58BFE" w14:textId="77777777" w:rsidR="00351224" w:rsidRDefault="00351224" w:rsidP="00351224">
            <w:pPr>
              <w:pStyle w:val="List"/>
              <w:ind w:left="0" w:firstLine="0"/>
              <w:rPr>
                <w:szCs w:val="24"/>
              </w:rPr>
            </w:pPr>
          </w:p>
        </w:tc>
        <w:tc>
          <w:tcPr>
            <w:tcW w:w="576" w:type="dxa"/>
            <w:tcBorders>
              <w:top w:val="single" w:sz="6" w:space="0" w:color="000000"/>
              <w:left w:val="single" w:sz="6" w:space="0" w:color="000000"/>
              <w:bottom w:val="single" w:sz="6" w:space="0" w:color="000000"/>
              <w:right w:val="single" w:sz="6" w:space="0" w:color="000000"/>
            </w:tcBorders>
          </w:tcPr>
          <w:p w14:paraId="4AF86BA9" w14:textId="77777777" w:rsidR="00351224" w:rsidRDefault="00351224">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37470AD0" w14:textId="77777777" w:rsidR="00351224" w:rsidRDefault="00351224">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3B768DED" w14:textId="77777777" w:rsidR="00351224" w:rsidRDefault="00351224">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4E2F980F" w14:textId="77777777" w:rsidR="00351224" w:rsidRDefault="00351224">
            <w:pPr>
              <w:jc w:val="center"/>
              <w:rPr>
                <w:rFonts w:ascii="Times New Roman" w:hAnsi="Times New Roman" w:cs="Times New Roman"/>
                <w:szCs w:val="24"/>
              </w:rPr>
            </w:pPr>
          </w:p>
        </w:tc>
      </w:tr>
      <w:tr w:rsidR="0066589F" w14:paraId="3834A854" w14:textId="77777777" w:rsidTr="00A11C0F">
        <w:trPr>
          <w:cantSplit/>
        </w:trPr>
        <w:tc>
          <w:tcPr>
            <w:tcW w:w="3602" w:type="dxa"/>
            <w:gridSpan w:val="2"/>
            <w:tcBorders>
              <w:top w:val="single" w:sz="6" w:space="0" w:color="000000"/>
              <w:bottom w:val="single" w:sz="6" w:space="0" w:color="000000"/>
              <w:right w:val="single" w:sz="6" w:space="0" w:color="000000"/>
            </w:tcBorders>
          </w:tcPr>
          <w:p w14:paraId="1ED173AC" w14:textId="48B20D22" w:rsidR="0066589F" w:rsidRDefault="0066589F" w:rsidP="00514017">
            <w:pPr>
              <w:pStyle w:val="List"/>
              <w:ind w:left="335"/>
              <w:rPr>
                <w:bCs/>
                <w:szCs w:val="24"/>
              </w:rPr>
            </w:pPr>
            <w:r>
              <w:rPr>
                <w:bCs/>
                <w:szCs w:val="24"/>
              </w:rPr>
              <w:t>1</w:t>
            </w:r>
            <w:r w:rsidR="00131786">
              <w:rPr>
                <w:bCs/>
                <w:szCs w:val="24"/>
              </w:rPr>
              <w:t>1</w:t>
            </w:r>
            <w:r>
              <w:rPr>
                <w:bCs/>
                <w:szCs w:val="24"/>
              </w:rPr>
              <w:t xml:space="preserve">.  </w:t>
            </w:r>
            <w:r w:rsidRPr="0066589F">
              <w:rPr>
                <w:bCs/>
                <w:szCs w:val="24"/>
              </w:rPr>
              <w:t xml:space="preserve">If entertainment subject to tax is offered in any facility located </w:t>
            </w:r>
            <w:r>
              <w:rPr>
                <w:bCs/>
                <w:szCs w:val="24"/>
              </w:rPr>
              <w:t>at</w:t>
            </w:r>
            <w:r w:rsidRPr="0066589F">
              <w:rPr>
                <w:bCs/>
                <w:szCs w:val="24"/>
              </w:rPr>
              <w:t xml:space="preserve"> </w:t>
            </w:r>
            <w:r w:rsidR="009D703B">
              <w:rPr>
                <w:bCs/>
                <w:szCs w:val="24"/>
              </w:rPr>
              <w:t xml:space="preserve">a </w:t>
            </w:r>
            <w:r w:rsidRPr="0066589F">
              <w:rPr>
                <w:bCs/>
                <w:szCs w:val="24"/>
              </w:rPr>
              <w:t xml:space="preserve">licensed gaming establishment, </w:t>
            </w:r>
            <w:r w:rsidR="00860877">
              <w:rPr>
                <w:bCs/>
                <w:szCs w:val="24"/>
              </w:rPr>
              <w:t xml:space="preserve">even if another person is affording that </w:t>
            </w:r>
            <w:r w:rsidR="009263DD">
              <w:rPr>
                <w:bCs/>
                <w:szCs w:val="24"/>
              </w:rPr>
              <w:t>entertainment</w:t>
            </w:r>
            <w:r w:rsidRPr="0066589F">
              <w:rPr>
                <w:bCs/>
                <w:szCs w:val="24"/>
              </w:rPr>
              <w:t xml:space="preserve"> (“</w:t>
            </w:r>
            <w:r>
              <w:rPr>
                <w:bCs/>
                <w:szCs w:val="24"/>
              </w:rPr>
              <w:t>operator</w:t>
            </w:r>
            <w:r w:rsidRPr="0066589F">
              <w:rPr>
                <w:bCs/>
                <w:szCs w:val="24"/>
              </w:rPr>
              <w:t>”):</w:t>
            </w:r>
          </w:p>
          <w:p w14:paraId="644F6154" w14:textId="77777777" w:rsidR="0066589F" w:rsidRDefault="0066589F" w:rsidP="00226FCE">
            <w:pPr>
              <w:pStyle w:val="List"/>
              <w:ind w:left="0" w:firstLine="0"/>
              <w:rPr>
                <w:bCs/>
                <w:szCs w:val="24"/>
              </w:rPr>
            </w:pPr>
          </w:p>
        </w:tc>
        <w:tc>
          <w:tcPr>
            <w:tcW w:w="576" w:type="dxa"/>
            <w:tcBorders>
              <w:top w:val="single" w:sz="6" w:space="0" w:color="000000"/>
              <w:left w:val="single" w:sz="6" w:space="0" w:color="000000"/>
              <w:bottom w:val="single" w:sz="6" w:space="0" w:color="000000"/>
              <w:right w:val="single" w:sz="6" w:space="0" w:color="000000"/>
            </w:tcBorders>
            <w:shd w:val="clear" w:color="auto" w:fill="D9D9D9"/>
          </w:tcPr>
          <w:p w14:paraId="5455B72B" w14:textId="77777777" w:rsidR="0066589F" w:rsidRDefault="0066589F">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shd w:val="clear" w:color="auto" w:fill="D9D9D9"/>
          </w:tcPr>
          <w:p w14:paraId="7760DCC9" w14:textId="77777777" w:rsidR="0066589F" w:rsidRDefault="0066589F">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shd w:val="clear" w:color="auto" w:fill="D9D9D9"/>
          </w:tcPr>
          <w:p w14:paraId="5A030800" w14:textId="77777777" w:rsidR="0066589F" w:rsidRDefault="0066589F">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shd w:val="clear" w:color="auto" w:fill="D9D9D9"/>
          </w:tcPr>
          <w:p w14:paraId="4156C0F1" w14:textId="77777777" w:rsidR="0066589F" w:rsidRDefault="0066589F">
            <w:pPr>
              <w:jc w:val="center"/>
              <w:rPr>
                <w:rFonts w:ascii="Times New Roman" w:hAnsi="Times New Roman" w:cs="Times New Roman"/>
                <w:szCs w:val="24"/>
              </w:rPr>
            </w:pPr>
          </w:p>
        </w:tc>
      </w:tr>
      <w:tr w:rsidR="00226FCE" w14:paraId="7EC20CF3" w14:textId="77777777" w:rsidTr="00A11C0F">
        <w:trPr>
          <w:cantSplit/>
        </w:trPr>
        <w:tc>
          <w:tcPr>
            <w:tcW w:w="3602" w:type="dxa"/>
            <w:gridSpan w:val="2"/>
            <w:tcBorders>
              <w:top w:val="single" w:sz="6" w:space="0" w:color="000000"/>
              <w:bottom w:val="single" w:sz="6" w:space="0" w:color="000000"/>
              <w:right w:val="single" w:sz="6" w:space="0" w:color="000000"/>
            </w:tcBorders>
          </w:tcPr>
          <w:p w14:paraId="572A82FE" w14:textId="77777777" w:rsidR="00226FCE" w:rsidRPr="002C53F8" w:rsidRDefault="00226FCE" w:rsidP="00226FCE">
            <w:pPr>
              <w:pStyle w:val="List"/>
              <w:ind w:left="605" w:hanging="270"/>
              <w:rPr>
                <w:b/>
                <w:bCs/>
                <w:szCs w:val="24"/>
              </w:rPr>
            </w:pPr>
            <w:r w:rsidRPr="0066589F">
              <w:rPr>
                <w:bCs/>
                <w:szCs w:val="24"/>
              </w:rPr>
              <w:t xml:space="preserve">a. </w:t>
            </w:r>
            <w:r>
              <w:rPr>
                <w:bCs/>
                <w:szCs w:val="24"/>
              </w:rPr>
              <w:t xml:space="preserve">  </w:t>
            </w:r>
            <w:r w:rsidRPr="0066589F">
              <w:rPr>
                <w:bCs/>
                <w:szCs w:val="24"/>
              </w:rPr>
              <w:t xml:space="preserve">Is the licensee collecting the tax from the </w:t>
            </w:r>
            <w:r>
              <w:rPr>
                <w:bCs/>
                <w:szCs w:val="24"/>
              </w:rPr>
              <w:t>operator</w:t>
            </w:r>
            <w:r w:rsidRPr="0066589F">
              <w:rPr>
                <w:bCs/>
                <w:szCs w:val="24"/>
              </w:rPr>
              <w:t xml:space="preserve"> and remitting the tax based upon the </w:t>
            </w:r>
            <w:r>
              <w:rPr>
                <w:bCs/>
                <w:szCs w:val="24"/>
              </w:rPr>
              <w:t>operator’s</w:t>
            </w:r>
            <w:r w:rsidRPr="0066589F">
              <w:rPr>
                <w:bCs/>
                <w:szCs w:val="24"/>
              </w:rPr>
              <w:t xml:space="preserve"> records? </w:t>
            </w:r>
            <w:r>
              <w:rPr>
                <w:bCs/>
                <w:szCs w:val="24"/>
              </w:rPr>
              <w:t xml:space="preserve"> </w:t>
            </w:r>
            <w:r w:rsidRPr="002C53F8">
              <w:rPr>
                <w:b/>
                <w:bCs/>
                <w:szCs w:val="24"/>
              </w:rPr>
              <w:t>[NRS 368A.200(1) and</w:t>
            </w:r>
          </w:p>
          <w:p w14:paraId="14F03A5E" w14:textId="77777777" w:rsidR="00226FCE" w:rsidRPr="002C53F8" w:rsidRDefault="00226FCE" w:rsidP="00226FCE">
            <w:pPr>
              <w:pStyle w:val="List"/>
              <w:ind w:left="695" w:hanging="90"/>
              <w:rPr>
                <w:b/>
                <w:bCs/>
                <w:szCs w:val="24"/>
              </w:rPr>
            </w:pPr>
            <w:r w:rsidRPr="002C53F8">
              <w:rPr>
                <w:b/>
                <w:bCs/>
                <w:szCs w:val="24"/>
              </w:rPr>
              <w:t>NAC 368A.490(1)]</w:t>
            </w:r>
          </w:p>
          <w:p w14:paraId="5EFBF7CC" w14:textId="77777777" w:rsidR="00226FCE" w:rsidRDefault="00226FCE" w:rsidP="0066589F">
            <w:pPr>
              <w:pStyle w:val="List"/>
              <w:ind w:left="335"/>
              <w:rPr>
                <w:bCs/>
                <w:szCs w:val="24"/>
              </w:rPr>
            </w:pPr>
          </w:p>
        </w:tc>
        <w:tc>
          <w:tcPr>
            <w:tcW w:w="576" w:type="dxa"/>
            <w:tcBorders>
              <w:top w:val="single" w:sz="6" w:space="0" w:color="000000"/>
              <w:left w:val="single" w:sz="6" w:space="0" w:color="000000"/>
              <w:bottom w:val="single" w:sz="6" w:space="0" w:color="000000"/>
              <w:right w:val="single" w:sz="6" w:space="0" w:color="000000"/>
            </w:tcBorders>
          </w:tcPr>
          <w:p w14:paraId="035E2A2D" w14:textId="77777777" w:rsidR="00226FCE" w:rsidRDefault="00226FCE">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4E84A463" w14:textId="77777777" w:rsidR="00226FCE" w:rsidRDefault="00226FCE">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51A351F7" w14:textId="77777777" w:rsidR="00226FCE" w:rsidRDefault="00226FCE">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018C4F12" w14:textId="77777777" w:rsidR="00226FCE" w:rsidRDefault="00226FCE">
            <w:pPr>
              <w:jc w:val="center"/>
              <w:rPr>
                <w:rFonts w:ascii="Times New Roman" w:hAnsi="Times New Roman" w:cs="Times New Roman"/>
                <w:szCs w:val="24"/>
              </w:rPr>
            </w:pPr>
          </w:p>
        </w:tc>
      </w:tr>
      <w:tr w:rsidR="0066589F" w14:paraId="73440FFB" w14:textId="77777777" w:rsidTr="00A11C0F">
        <w:trPr>
          <w:cantSplit/>
        </w:trPr>
        <w:tc>
          <w:tcPr>
            <w:tcW w:w="3602" w:type="dxa"/>
            <w:gridSpan w:val="2"/>
            <w:tcBorders>
              <w:top w:val="single" w:sz="6" w:space="0" w:color="000000"/>
              <w:bottom w:val="single" w:sz="6" w:space="0" w:color="000000"/>
              <w:right w:val="single" w:sz="6" w:space="0" w:color="000000"/>
            </w:tcBorders>
          </w:tcPr>
          <w:p w14:paraId="7577B4F2" w14:textId="77777777" w:rsidR="0066589F" w:rsidRDefault="0066589F" w:rsidP="00844104">
            <w:pPr>
              <w:pStyle w:val="List"/>
              <w:ind w:left="605" w:hanging="270"/>
              <w:rPr>
                <w:bCs/>
                <w:szCs w:val="24"/>
              </w:rPr>
            </w:pPr>
            <w:r w:rsidRPr="0066589F">
              <w:rPr>
                <w:bCs/>
                <w:szCs w:val="24"/>
              </w:rPr>
              <w:t xml:space="preserve">b. </w:t>
            </w:r>
            <w:r w:rsidR="002C53F8">
              <w:rPr>
                <w:bCs/>
                <w:szCs w:val="24"/>
              </w:rPr>
              <w:t xml:space="preserve"> </w:t>
            </w:r>
            <w:r w:rsidRPr="0066589F">
              <w:rPr>
                <w:bCs/>
                <w:szCs w:val="24"/>
              </w:rPr>
              <w:t xml:space="preserve">Is the licensee keeping all </w:t>
            </w:r>
            <w:r w:rsidR="00844104">
              <w:rPr>
                <w:bCs/>
                <w:szCs w:val="24"/>
              </w:rPr>
              <w:t xml:space="preserve">pertinent required </w:t>
            </w:r>
            <w:r w:rsidRPr="0066589F">
              <w:rPr>
                <w:bCs/>
                <w:szCs w:val="24"/>
              </w:rPr>
              <w:t>records</w:t>
            </w:r>
            <w:r w:rsidR="00844104">
              <w:rPr>
                <w:bCs/>
                <w:szCs w:val="24"/>
              </w:rPr>
              <w:t xml:space="preserve">; </w:t>
            </w:r>
            <w:r w:rsidRPr="0066589F">
              <w:rPr>
                <w:bCs/>
                <w:szCs w:val="24"/>
              </w:rPr>
              <w:t xml:space="preserve">and either </w:t>
            </w:r>
            <w:r w:rsidR="00844104">
              <w:rPr>
                <w:bCs/>
                <w:szCs w:val="24"/>
              </w:rPr>
              <w:t xml:space="preserve">obtaining and </w:t>
            </w:r>
            <w:r w:rsidRPr="0066589F">
              <w:rPr>
                <w:bCs/>
                <w:szCs w:val="24"/>
              </w:rPr>
              <w:t>keeping</w:t>
            </w:r>
            <w:r w:rsidR="00844104">
              <w:rPr>
                <w:bCs/>
                <w:szCs w:val="24"/>
              </w:rPr>
              <w:t>, or requiring the operator to obtain and keep all other pertinent required</w:t>
            </w:r>
            <w:r w:rsidR="00297BD8">
              <w:rPr>
                <w:bCs/>
                <w:szCs w:val="24"/>
              </w:rPr>
              <w:t xml:space="preserve"> records</w:t>
            </w:r>
            <w:r w:rsidR="00844104">
              <w:rPr>
                <w:bCs/>
                <w:szCs w:val="24"/>
              </w:rPr>
              <w:t>?</w:t>
            </w:r>
            <w:r w:rsidR="002C53F8">
              <w:rPr>
                <w:bCs/>
                <w:szCs w:val="24"/>
              </w:rPr>
              <w:t xml:space="preserve"> </w:t>
            </w:r>
            <w:r w:rsidR="003D45AF">
              <w:rPr>
                <w:bCs/>
                <w:szCs w:val="24"/>
              </w:rPr>
              <w:t xml:space="preserve"> </w:t>
            </w:r>
            <w:r w:rsidR="002C53F8" w:rsidRPr="002C53F8">
              <w:rPr>
                <w:b/>
                <w:bCs/>
                <w:szCs w:val="24"/>
              </w:rPr>
              <w:t>[NRS</w:t>
            </w:r>
            <w:r w:rsidR="00860877">
              <w:rPr>
                <w:b/>
                <w:bCs/>
                <w:szCs w:val="24"/>
              </w:rPr>
              <w:t xml:space="preserve"> </w:t>
            </w:r>
            <w:r w:rsidR="002C53F8" w:rsidRPr="002C53F8">
              <w:rPr>
                <w:b/>
                <w:bCs/>
                <w:szCs w:val="24"/>
              </w:rPr>
              <w:t xml:space="preserve">368A.160 and NAC </w:t>
            </w:r>
            <w:r w:rsidR="003D45AF">
              <w:rPr>
                <w:b/>
                <w:bCs/>
                <w:szCs w:val="24"/>
              </w:rPr>
              <w:t>3</w:t>
            </w:r>
            <w:r w:rsidR="002C53F8" w:rsidRPr="002C53F8">
              <w:rPr>
                <w:b/>
                <w:bCs/>
                <w:szCs w:val="24"/>
              </w:rPr>
              <w:t>68A.490(2)]</w:t>
            </w:r>
          </w:p>
          <w:p w14:paraId="0C65983C" w14:textId="77777777" w:rsidR="002C53F8" w:rsidRDefault="002C53F8" w:rsidP="002C53F8">
            <w:pPr>
              <w:pStyle w:val="List"/>
              <w:ind w:left="605"/>
              <w:rPr>
                <w:bCs/>
                <w:szCs w:val="24"/>
              </w:rPr>
            </w:pPr>
          </w:p>
        </w:tc>
        <w:tc>
          <w:tcPr>
            <w:tcW w:w="576" w:type="dxa"/>
            <w:tcBorders>
              <w:top w:val="single" w:sz="6" w:space="0" w:color="000000"/>
              <w:left w:val="single" w:sz="6" w:space="0" w:color="000000"/>
              <w:bottom w:val="single" w:sz="6" w:space="0" w:color="000000"/>
              <w:right w:val="single" w:sz="6" w:space="0" w:color="000000"/>
            </w:tcBorders>
          </w:tcPr>
          <w:p w14:paraId="308DF410" w14:textId="77777777" w:rsidR="0066589F" w:rsidRDefault="0066589F">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50D8E17A" w14:textId="77777777" w:rsidR="0066589F" w:rsidRDefault="0066589F">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2B4EF318" w14:textId="77777777" w:rsidR="0066589F" w:rsidRDefault="0066589F">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0ED0972B" w14:textId="77777777" w:rsidR="0066589F" w:rsidRDefault="0066589F">
            <w:pPr>
              <w:jc w:val="center"/>
              <w:rPr>
                <w:rFonts w:ascii="Times New Roman" w:hAnsi="Times New Roman" w:cs="Times New Roman"/>
                <w:szCs w:val="24"/>
              </w:rPr>
            </w:pPr>
          </w:p>
        </w:tc>
      </w:tr>
      <w:tr w:rsidR="00BB46DB" w14:paraId="186C4060" w14:textId="77777777" w:rsidTr="00A11C0F">
        <w:trPr>
          <w:cantSplit/>
        </w:trPr>
        <w:tc>
          <w:tcPr>
            <w:tcW w:w="3602" w:type="dxa"/>
            <w:gridSpan w:val="2"/>
            <w:tcBorders>
              <w:top w:val="single" w:sz="6" w:space="0" w:color="000000"/>
              <w:bottom w:val="single" w:sz="6" w:space="0" w:color="000000"/>
              <w:right w:val="single" w:sz="6" w:space="0" w:color="000000"/>
            </w:tcBorders>
          </w:tcPr>
          <w:p w14:paraId="1525F557" w14:textId="77777777" w:rsidR="00BB46DB" w:rsidRDefault="00BB46DB" w:rsidP="00844104">
            <w:pPr>
              <w:pStyle w:val="List"/>
              <w:ind w:left="605" w:hanging="270"/>
              <w:rPr>
                <w:szCs w:val="24"/>
              </w:rPr>
            </w:pPr>
            <w:r>
              <w:rPr>
                <w:szCs w:val="24"/>
              </w:rPr>
              <w:t>c.</w:t>
            </w:r>
            <w:r>
              <w:rPr>
                <w:szCs w:val="24"/>
              </w:rPr>
              <w:tab/>
              <w:t xml:space="preserve">Is the </w:t>
            </w:r>
            <w:r w:rsidR="00860877">
              <w:rPr>
                <w:szCs w:val="24"/>
              </w:rPr>
              <w:t>licensee</w:t>
            </w:r>
            <w:r>
              <w:rPr>
                <w:szCs w:val="24"/>
              </w:rPr>
              <w:t xml:space="preserve"> obtaining and keeping</w:t>
            </w:r>
            <w:r w:rsidR="00297BD8">
              <w:rPr>
                <w:szCs w:val="24"/>
              </w:rPr>
              <w:t>,</w:t>
            </w:r>
            <w:r>
              <w:rPr>
                <w:szCs w:val="24"/>
              </w:rPr>
              <w:t xml:space="preserve"> </w:t>
            </w:r>
            <w:r w:rsidR="00297BD8">
              <w:rPr>
                <w:szCs w:val="24"/>
              </w:rPr>
              <w:t xml:space="preserve">or requiring the operator to obtain and keep, </w:t>
            </w:r>
            <w:r>
              <w:rPr>
                <w:szCs w:val="24"/>
              </w:rPr>
              <w:t xml:space="preserve">any executed contracts relating to the sale or distribution of admissions to the facility that have been entered into by the operator and </w:t>
            </w:r>
            <w:r w:rsidR="00297BD8">
              <w:rPr>
                <w:szCs w:val="24"/>
              </w:rPr>
              <w:t xml:space="preserve">a </w:t>
            </w:r>
            <w:r>
              <w:rPr>
                <w:szCs w:val="24"/>
              </w:rPr>
              <w:t xml:space="preserve">ticket </w:t>
            </w:r>
            <w:r w:rsidR="00860877">
              <w:rPr>
                <w:szCs w:val="24"/>
              </w:rPr>
              <w:t xml:space="preserve">service </w:t>
            </w:r>
            <w:r>
              <w:rPr>
                <w:szCs w:val="24"/>
              </w:rPr>
              <w:t xml:space="preserve">provider? </w:t>
            </w:r>
            <w:r w:rsidR="00297BD8">
              <w:rPr>
                <w:szCs w:val="24"/>
              </w:rPr>
              <w:t xml:space="preserve"> </w:t>
            </w:r>
            <w:r w:rsidRPr="00351010">
              <w:rPr>
                <w:b/>
                <w:szCs w:val="24"/>
              </w:rPr>
              <w:t>[NAC 368A.490(2)]</w:t>
            </w:r>
            <w:r>
              <w:rPr>
                <w:szCs w:val="24"/>
              </w:rPr>
              <w:t xml:space="preserve"> </w:t>
            </w:r>
          </w:p>
          <w:p w14:paraId="6C41C679" w14:textId="77777777" w:rsidR="00BB46DB" w:rsidRDefault="00BB46DB">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3267EED1" w14:textId="77777777" w:rsidR="00BB46DB" w:rsidRDefault="00BB46DB">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5841A044" w14:textId="77777777" w:rsidR="00BB46DB" w:rsidRDefault="00BB46DB">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68AE3076" w14:textId="77777777" w:rsidR="00BB46DB" w:rsidRDefault="00BB46DB">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7D85FDF3" w14:textId="77777777" w:rsidR="00BB46DB" w:rsidRDefault="00BB46DB">
            <w:pPr>
              <w:jc w:val="center"/>
              <w:rPr>
                <w:rFonts w:ascii="Times New Roman" w:hAnsi="Times New Roman" w:cs="Times New Roman"/>
                <w:szCs w:val="24"/>
              </w:rPr>
            </w:pPr>
          </w:p>
        </w:tc>
      </w:tr>
      <w:tr w:rsidR="00521446" w14:paraId="7478BC1A" w14:textId="77777777" w:rsidTr="00A11C0F">
        <w:trPr>
          <w:cantSplit/>
        </w:trPr>
        <w:tc>
          <w:tcPr>
            <w:tcW w:w="3602" w:type="dxa"/>
            <w:gridSpan w:val="2"/>
            <w:tcBorders>
              <w:top w:val="single" w:sz="6" w:space="0" w:color="000000"/>
              <w:bottom w:val="single" w:sz="6" w:space="0" w:color="000000"/>
              <w:right w:val="single" w:sz="6" w:space="0" w:color="000000"/>
            </w:tcBorders>
          </w:tcPr>
          <w:p w14:paraId="0BEE6856" w14:textId="77777777" w:rsidR="00521446" w:rsidRDefault="00521446" w:rsidP="00A11C0F">
            <w:pPr>
              <w:pStyle w:val="List"/>
              <w:numPr>
                <w:ilvl w:val="0"/>
                <w:numId w:val="13"/>
              </w:numPr>
              <w:rPr>
                <w:bCs/>
                <w:szCs w:val="24"/>
              </w:rPr>
            </w:pPr>
            <w:r>
              <w:rPr>
                <w:bCs/>
                <w:szCs w:val="24"/>
              </w:rPr>
              <w:lastRenderedPageBreak/>
              <w:t>Does the</w:t>
            </w:r>
            <w:r w:rsidR="00F77840">
              <w:rPr>
                <w:bCs/>
                <w:szCs w:val="24"/>
              </w:rPr>
              <w:t xml:space="preserve"> </w:t>
            </w:r>
            <w:r w:rsidR="00297BD8">
              <w:rPr>
                <w:bCs/>
                <w:szCs w:val="24"/>
              </w:rPr>
              <w:t>licensee</w:t>
            </w:r>
            <w:r>
              <w:rPr>
                <w:bCs/>
                <w:szCs w:val="24"/>
              </w:rPr>
              <w:t xml:space="preserve"> obtain </w:t>
            </w:r>
            <w:r w:rsidRPr="00521446">
              <w:rPr>
                <w:bCs/>
                <w:szCs w:val="24"/>
              </w:rPr>
              <w:t>and keep detailed transaction reports of an operator or ticket service provider selling or distributing taxable admissions to a facility where live entertainment is provided</w:t>
            </w:r>
            <w:r>
              <w:rPr>
                <w:bCs/>
                <w:szCs w:val="24"/>
              </w:rPr>
              <w:t xml:space="preserve"> which is located on the premises of the taxpayer’s licensed gaming establishment</w:t>
            </w:r>
            <w:r w:rsidRPr="00521446">
              <w:rPr>
                <w:bCs/>
                <w:szCs w:val="24"/>
              </w:rPr>
              <w:t xml:space="preserve">?  </w:t>
            </w:r>
            <w:r w:rsidRPr="00351010">
              <w:rPr>
                <w:b/>
                <w:bCs/>
                <w:szCs w:val="24"/>
              </w:rPr>
              <w:t>[NAC</w:t>
            </w:r>
            <w:r w:rsidR="00941DDB">
              <w:rPr>
                <w:b/>
                <w:bCs/>
                <w:szCs w:val="24"/>
              </w:rPr>
              <w:t xml:space="preserve"> </w:t>
            </w:r>
            <w:r w:rsidRPr="00351010">
              <w:rPr>
                <w:b/>
                <w:bCs/>
                <w:szCs w:val="24"/>
              </w:rPr>
              <w:t>368A.500(1)(a)(2)]</w:t>
            </w:r>
          </w:p>
          <w:p w14:paraId="54256D54" w14:textId="77777777" w:rsidR="00521446" w:rsidRPr="009F4118" w:rsidRDefault="00521446" w:rsidP="00351010">
            <w:pPr>
              <w:pStyle w:val="List"/>
              <w:ind w:firstLine="0"/>
              <w:rPr>
                <w:bCs/>
                <w:sz w:val="18"/>
                <w:szCs w:val="24"/>
              </w:rPr>
            </w:pPr>
          </w:p>
        </w:tc>
        <w:tc>
          <w:tcPr>
            <w:tcW w:w="576" w:type="dxa"/>
            <w:tcBorders>
              <w:top w:val="single" w:sz="6" w:space="0" w:color="000000"/>
              <w:left w:val="single" w:sz="6" w:space="0" w:color="000000"/>
              <w:bottom w:val="single" w:sz="6" w:space="0" w:color="000000"/>
              <w:right w:val="single" w:sz="6" w:space="0" w:color="000000"/>
            </w:tcBorders>
          </w:tcPr>
          <w:p w14:paraId="3AE0114C" w14:textId="77777777" w:rsidR="00521446" w:rsidRDefault="00521446">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41046C06" w14:textId="77777777" w:rsidR="00521446" w:rsidRDefault="00521446">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61B0ECBB" w14:textId="77777777" w:rsidR="00521446" w:rsidRDefault="00521446">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5B76B7DF" w14:textId="77777777" w:rsidR="00521446" w:rsidRDefault="00521446">
            <w:pPr>
              <w:jc w:val="center"/>
              <w:rPr>
                <w:rFonts w:ascii="Times New Roman" w:hAnsi="Times New Roman" w:cs="Times New Roman"/>
                <w:szCs w:val="24"/>
              </w:rPr>
            </w:pPr>
          </w:p>
        </w:tc>
      </w:tr>
      <w:tr w:rsidR="00EE3CF0" w14:paraId="58FC6A35" w14:textId="77777777" w:rsidTr="00A11C0F">
        <w:trPr>
          <w:cantSplit/>
        </w:trPr>
        <w:tc>
          <w:tcPr>
            <w:tcW w:w="3602" w:type="dxa"/>
            <w:gridSpan w:val="2"/>
            <w:tcBorders>
              <w:top w:val="single" w:sz="6" w:space="0" w:color="000000"/>
              <w:bottom w:val="single" w:sz="6" w:space="0" w:color="000000"/>
              <w:right w:val="single" w:sz="6" w:space="0" w:color="000000"/>
            </w:tcBorders>
          </w:tcPr>
          <w:p w14:paraId="56D52655" w14:textId="77777777" w:rsidR="00EE3CF0" w:rsidRPr="00351010" w:rsidRDefault="00EE3CF0" w:rsidP="004C1E84">
            <w:pPr>
              <w:pStyle w:val="List"/>
              <w:numPr>
                <w:ilvl w:val="0"/>
                <w:numId w:val="13"/>
              </w:numPr>
              <w:rPr>
                <w:bCs/>
                <w:szCs w:val="24"/>
              </w:rPr>
            </w:pPr>
            <w:r w:rsidRPr="00351010">
              <w:rPr>
                <w:bCs/>
                <w:szCs w:val="24"/>
              </w:rPr>
              <w:t xml:space="preserve">Does the </w:t>
            </w:r>
            <w:r w:rsidR="00297BD8">
              <w:rPr>
                <w:bCs/>
                <w:szCs w:val="24"/>
              </w:rPr>
              <w:t>licensee</w:t>
            </w:r>
            <w:r w:rsidR="00941DDB">
              <w:rPr>
                <w:bCs/>
                <w:szCs w:val="24"/>
              </w:rPr>
              <w:t>, operator or ticket service provider</w:t>
            </w:r>
            <w:r w:rsidRPr="00351010">
              <w:rPr>
                <w:bCs/>
                <w:szCs w:val="24"/>
              </w:rPr>
              <w:t xml:space="preserve"> keep records evidencing any exclusions or exemptions from the tax </w:t>
            </w:r>
            <w:r w:rsidR="00A3760F">
              <w:rPr>
                <w:bCs/>
                <w:szCs w:val="24"/>
              </w:rPr>
              <w:t>(</w:t>
            </w:r>
            <w:r w:rsidRPr="00351010">
              <w:rPr>
                <w:bCs/>
                <w:szCs w:val="24"/>
              </w:rPr>
              <w:t xml:space="preserve">pursuant to </w:t>
            </w:r>
            <w:r w:rsidR="00A3760F" w:rsidRPr="00351010">
              <w:rPr>
                <w:bCs/>
                <w:szCs w:val="24"/>
              </w:rPr>
              <w:t>chapter 368A of the NRS</w:t>
            </w:r>
            <w:r w:rsidR="00A3760F">
              <w:rPr>
                <w:bCs/>
                <w:szCs w:val="24"/>
              </w:rPr>
              <w:t>)</w:t>
            </w:r>
            <w:r w:rsidR="00A3760F" w:rsidRPr="00351010">
              <w:rPr>
                <w:bCs/>
                <w:szCs w:val="24"/>
              </w:rPr>
              <w:t xml:space="preserve"> of live entertainment</w:t>
            </w:r>
            <w:r w:rsidR="003E38AD">
              <w:rPr>
                <w:bCs/>
                <w:szCs w:val="24"/>
              </w:rPr>
              <w:t xml:space="preserve"> provided at the licensed gaming establishment</w:t>
            </w:r>
            <w:r w:rsidR="00A3760F" w:rsidRPr="00351010">
              <w:rPr>
                <w:bCs/>
                <w:szCs w:val="24"/>
              </w:rPr>
              <w:t>?</w:t>
            </w:r>
            <w:r w:rsidR="00226FCE">
              <w:rPr>
                <w:bCs/>
                <w:szCs w:val="24"/>
              </w:rPr>
              <w:t xml:space="preserve">  </w:t>
            </w:r>
            <w:r w:rsidR="00A3760F">
              <w:rPr>
                <w:b/>
                <w:bCs/>
                <w:szCs w:val="24"/>
              </w:rPr>
              <w:t>[NAC 368A.500(1)(b)]</w:t>
            </w:r>
          </w:p>
          <w:p w14:paraId="4A2C7281" w14:textId="77777777" w:rsidR="00A3760F" w:rsidRPr="009F4118" w:rsidRDefault="00A3760F" w:rsidP="00351010">
            <w:pPr>
              <w:pStyle w:val="List"/>
              <w:ind w:firstLine="0"/>
              <w:rPr>
                <w:bCs/>
                <w:sz w:val="18"/>
                <w:szCs w:val="24"/>
              </w:rPr>
            </w:pPr>
          </w:p>
        </w:tc>
        <w:tc>
          <w:tcPr>
            <w:tcW w:w="576" w:type="dxa"/>
            <w:tcBorders>
              <w:top w:val="single" w:sz="6" w:space="0" w:color="000000"/>
              <w:left w:val="single" w:sz="6" w:space="0" w:color="000000"/>
              <w:bottom w:val="single" w:sz="6" w:space="0" w:color="000000"/>
              <w:right w:val="single" w:sz="6" w:space="0" w:color="000000"/>
            </w:tcBorders>
          </w:tcPr>
          <w:p w14:paraId="2631A0B9" w14:textId="77777777" w:rsidR="00EE3CF0" w:rsidRDefault="00EE3CF0">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58EF9539" w14:textId="77777777" w:rsidR="00EE3CF0" w:rsidRDefault="00EE3CF0">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7A3C9880" w14:textId="77777777" w:rsidR="00EE3CF0" w:rsidRDefault="00EE3CF0">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01B35CD1" w14:textId="77777777" w:rsidR="00EE3CF0" w:rsidRDefault="00EE3CF0">
            <w:pPr>
              <w:jc w:val="center"/>
              <w:rPr>
                <w:rFonts w:ascii="Times New Roman" w:hAnsi="Times New Roman" w:cs="Times New Roman"/>
                <w:szCs w:val="24"/>
              </w:rPr>
            </w:pPr>
          </w:p>
        </w:tc>
      </w:tr>
      <w:tr w:rsidR="00EE3CF0" w14:paraId="6CE5A783" w14:textId="77777777" w:rsidTr="00A11C0F">
        <w:trPr>
          <w:cantSplit/>
        </w:trPr>
        <w:tc>
          <w:tcPr>
            <w:tcW w:w="3602" w:type="dxa"/>
            <w:gridSpan w:val="2"/>
            <w:tcBorders>
              <w:top w:val="single" w:sz="6" w:space="0" w:color="000000"/>
              <w:bottom w:val="single" w:sz="6" w:space="0" w:color="000000"/>
              <w:right w:val="single" w:sz="6" w:space="0" w:color="000000"/>
            </w:tcBorders>
          </w:tcPr>
          <w:p w14:paraId="66835A81" w14:textId="77777777" w:rsidR="00A3760F" w:rsidRDefault="00A3760F" w:rsidP="004C1E84">
            <w:pPr>
              <w:pStyle w:val="List"/>
              <w:numPr>
                <w:ilvl w:val="0"/>
                <w:numId w:val="13"/>
              </w:numPr>
              <w:rPr>
                <w:bCs/>
                <w:szCs w:val="24"/>
              </w:rPr>
            </w:pPr>
            <w:r w:rsidRPr="00EE3CF0">
              <w:rPr>
                <w:bCs/>
                <w:szCs w:val="24"/>
              </w:rPr>
              <w:t xml:space="preserve">Does the </w:t>
            </w:r>
            <w:r w:rsidR="00297BD8">
              <w:rPr>
                <w:bCs/>
                <w:szCs w:val="24"/>
              </w:rPr>
              <w:t>licensee</w:t>
            </w:r>
            <w:r w:rsidRPr="00EE3CF0">
              <w:rPr>
                <w:bCs/>
                <w:szCs w:val="24"/>
              </w:rPr>
              <w:t xml:space="preserve"> </w:t>
            </w:r>
            <w:r>
              <w:rPr>
                <w:bCs/>
                <w:szCs w:val="24"/>
              </w:rPr>
              <w:t xml:space="preserve">obtain and keep each contract entered into with an operator or a ticket service provider selling or distributing taxable admissions to a facility where live entertainment is provided? </w:t>
            </w:r>
            <w:r w:rsidR="00941DDB">
              <w:rPr>
                <w:bCs/>
                <w:szCs w:val="24"/>
              </w:rPr>
              <w:t xml:space="preserve"> </w:t>
            </w:r>
            <w:r w:rsidRPr="00351010">
              <w:rPr>
                <w:b/>
                <w:bCs/>
                <w:szCs w:val="24"/>
              </w:rPr>
              <w:t>[NAC</w:t>
            </w:r>
            <w:r w:rsidR="00941DDB">
              <w:rPr>
                <w:b/>
                <w:bCs/>
                <w:szCs w:val="24"/>
              </w:rPr>
              <w:t xml:space="preserve"> </w:t>
            </w:r>
            <w:r w:rsidRPr="00351010">
              <w:rPr>
                <w:b/>
                <w:bCs/>
                <w:szCs w:val="24"/>
              </w:rPr>
              <w:t>368A.500(2)]</w:t>
            </w:r>
          </w:p>
          <w:p w14:paraId="5834033E" w14:textId="77777777" w:rsidR="00EE3CF0" w:rsidRPr="009F4118" w:rsidRDefault="00EE3CF0">
            <w:pPr>
              <w:rPr>
                <w:rFonts w:ascii="Times New Roman" w:hAnsi="Times New Roman" w:cs="Times New Roman"/>
                <w:b/>
                <w:bCs/>
                <w:sz w:val="18"/>
                <w:szCs w:val="24"/>
                <w:u w:val="single"/>
              </w:rPr>
            </w:pPr>
          </w:p>
        </w:tc>
        <w:tc>
          <w:tcPr>
            <w:tcW w:w="576" w:type="dxa"/>
            <w:tcBorders>
              <w:top w:val="single" w:sz="6" w:space="0" w:color="000000"/>
              <w:left w:val="single" w:sz="6" w:space="0" w:color="000000"/>
              <w:bottom w:val="single" w:sz="6" w:space="0" w:color="000000"/>
              <w:right w:val="single" w:sz="6" w:space="0" w:color="000000"/>
            </w:tcBorders>
          </w:tcPr>
          <w:p w14:paraId="5E6D4F71" w14:textId="77777777" w:rsidR="00EE3CF0" w:rsidRDefault="00EE3CF0">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228D8DCD" w14:textId="77777777" w:rsidR="00EE3CF0" w:rsidRDefault="00EE3CF0">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2B85AC98" w14:textId="77777777" w:rsidR="00EE3CF0" w:rsidRDefault="00EE3CF0">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423B02C2" w14:textId="77777777" w:rsidR="00EE3CF0" w:rsidRDefault="00EE3CF0">
            <w:pPr>
              <w:jc w:val="center"/>
              <w:rPr>
                <w:rFonts w:ascii="Times New Roman" w:hAnsi="Times New Roman" w:cs="Times New Roman"/>
                <w:szCs w:val="24"/>
              </w:rPr>
            </w:pPr>
          </w:p>
        </w:tc>
      </w:tr>
      <w:tr w:rsidR="0038257F" w14:paraId="022C6E24" w14:textId="77777777" w:rsidTr="00A11C0F">
        <w:trPr>
          <w:cantSplit/>
        </w:trPr>
        <w:tc>
          <w:tcPr>
            <w:tcW w:w="3602" w:type="dxa"/>
            <w:gridSpan w:val="2"/>
            <w:tcBorders>
              <w:top w:val="single" w:sz="6" w:space="0" w:color="000000"/>
              <w:bottom w:val="single" w:sz="6" w:space="0" w:color="000000"/>
              <w:right w:val="single" w:sz="6" w:space="0" w:color="000000"/>
            </w:tcBorders>
          </w:tcPr>
          <w:p w14:paraId="71C38DDF" w14:textId="77777777" w:rsidR="0038257F" w:rsidRDefault="00CE3F60" w:rsidP="0038257F">
            <w:pPr>
              <w:rPr>
                <w:rFonts w:ascii="Times New Roman" w:hAnsi="Times New Roman" w:cs="Times New Roman"/>
                <w:szCs w:val="24"/>
              </w:rPr>
            </w:pPr>
            <w:r>
              <w:rPr>
                <w:rFonts w:ascii="Times New Roman" w:hAnsi="Times New Roman" w:cs="Times New Roman"/>
                <w:b/>
                <w:bCs/>
                <w:szCs w:val="24"/>
              </w:rPr>
              <w:t>Package Programs</w:t>
            </w:r>
          </w:p>
          <w:p w14:paraId="7626862A" w14:textId="77777777" w:rsidR="0038257F" w:rsidRPr="00847437" w:rsidRDefault="0038257F" w:rsidP="0038257F">
            <w:pPr>
              <w:rPr>
                <w:rFonts w:ascii="Times New Roman" w:hAnsi="Times New Roman" w:cs="Times New Roman"/>
                <w:sz w:val="16"/>
                <w:szCs w:val="24"/>
              </w:rPr>
            </w:pPr>
          </w:p>
          <w:p w14:paraId="3EF5F7AA" w14:textId="71AE9FF3" w:rsidR="0038257F" w:rsidRDefault="00CE3F60" w:rsidP="00CE3F60">
            <w:pPr>
              <w:pStyle w:val="List"/>
              <w:ind w:left="335" w:hanging="335"/>
              <w:rPr>
                <w:szCs w:val="24"/>
              </w:rPr>
            </w:pPr>
            <w:r>
              <w:rPr>
                <w:szCs w:val="24"/>
              </w:rPr>
              <w:t>1</w:t>
            </w:r>
            <w:r w:rsidR="00131786">
              <w:rPr>
                <w:szCs w:val="24"/>
              </w:rPr>
              <w:t>5</w:t>
            </w:r>
            <w:r>
              <w:rPr>
                <w:szCs w:val="24"/>
              </w:rPr>
              <w:t xml:space="preserve">.  </w:t>
            </w:r>
            <w:r w:rsidR="00654B04">
              <w:rPr>
                <w:szCs w:val="24"/>
              </w:rPr>
              <w:t xml:space="preserve">Are </w:t>
            </w:r>
            <w:r>
              <w:rPr>
                <w:szCs w:val="24"/>
              </w:rPr>
              <w:t>package program breakdowns  computed</w:t>
            </w:r>
            <w:r w:rsidR="00654B04">
              <w:rPr>
                <w:szCs w:val="24"/>
              </w:rPr>
              <w:t xml:space="preserve"> </w:t>
            </w:r>
            <w:r w:rsidR="0038257F">
              <w:rPr>
                <w:szCs w:val="24"/>
              </w:rPr>
              <w:t xml:space="preserve">in accordance with the </w:t>
            </w:r>
            <w:r w:rsidR="00226FCE">
              <w:rPr>
                <w:szCs w:val="24"/>
              </w:rPr>
              <w:t>p</w:t>
            </w:r>
            <w:r w:rsidR="0038257F">
              <w:rPr>
                <w:szCs w:val="24"/>
              </w:rPr>
              <w:t xml:space="preserve">rovisions of </w:t>
            </w:r>
            <w:r>
              <w:rPr>
                <w:szCs w:val="24"/>
              </w:rPr>
              <w:t>NRS 368A.200(1) and</w:t>
            </w:r>
            <w:r w:rsidR="0038257F" w:rsidRPr="00D059E0">
              <w:rPr>
                <w:bCs/>
                <w:szCs w:val="24"/>
              </w:rPr>
              <w:t xml:space="preserve"> </w:t>
            </w:r>
            <w:r>
              <w:rPr>
                <w:bCs/>
                <w:szCs w:val="24"/>
              </w:rPr>
              <w:t>NAC 368A.450(5)</w:t>
            </w:r>
            <w:r w:rsidR="0038257F" w:rsidRPr="00D059E0">
              <w:rPr>
                <w:bCs/>
                <w:szCs w:val="24"/>
              </w:rPr>
              <w:t>?</w:t>
            </w:r>
          </w:p>
          <w:p w14:paraId="7D2AF8B7" w14:textId="0A80655B" w:rsidR="002415C3" w:rsidRPr="009F4118" w:rsidRDefault="002415C3">
            <w:pPr>
              <w:rPr>
                <w:rFonts w:ascii="Times New Roman" w:hAnsi="Times New Roman" w:cs="Times New Roman"/>
                <w:b/>
                <w:bCs/>
                <w:sz w:val="18"/>
                <w:szCs w:val="24"/>
                <w:u w:val="single"/>
              </w:rPr>
            </w:pPr>
          </w:p>
        </w:tc>
        <w:tc>
          <w:tcPr>
            <w:tcW w:w="576" w:type="dxa"/>
            <w:tcBorders>
              <w:top w:val="single" w:sz="6" w:space="0" w:color="000000"/>
              <w:left w:val="single" w:sz="6" w:space="0" w:color="000000"/>
              <w:bottom w:val="single" w:sz="6" w:space="0" w:color="000000"/>
              <w:right w:val="single" w:sz="6" w:space="0" w:color="000000"/>
            </w:tcBorders>
          </w:tcPr>
          <w:p w14:paraId="74947B04" w14:textId="77777777" w:rsidR="0038257F" w:rsidRDefault="0038257F">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7F403013" w14:textId="77777777" w:rsidR="0038257F" w:rsidRDefault="0038257F">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5C815132" w14:textId="77777777" w:rsidR="0038257F" w:rsidRDefault="0038257F">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6814D496" w14:textId="77777777" w:rsidR="0038257F" w:rsidRDefault="0038257F">
            <w:pPr>
              <w:jc w:val="center"/>
              <w:rPr>
                <w:rFonts w:ascii="Times New Roman" w:hAnsi="Times New Roman" w:cs="Times New Roman"/>
                <w:szCs w:val="24"/>
              </w:rPr>
            </w:pPr>
          </w:p>
        </w:tc>
      </w:tr>
      <w:tr w:rsidR="00CE5525" w14:paraId="6A7CA405" w14:textId="77777777" w:rsidTr="00A11C0F">
        <w:trPr>
          <w:cantSplit/>
        </w:trPr>
        <w:tc>
          <w:tcPr>
            <w:tcW w:w="3602" w:type="dxa"/>
            <w:gridSpan w:val="2"/>
            <w:tcBorders>
              <w:top w:val="single" w:sz="6" w:space="0" w:color="000000"/>
              <w:bottom w:val="single" w:sz="6" w:space="0" w:color="000000"/>
              <w:right w:val="single" w:sz="6" w:space="0" w:color="000000"/>
            </w:tcBorders>
          </w:tcPr>
          <w:p w14:paraId="7D8A00EA" w14:textId="77777777" w:rsidR="00CE5525" w:rsidRDefault="00D34980">
            <w:pPr>
              <w:rPr>
                <w:rFonts w:ascii="Times New Roman" w:hAnsi="Times New Roman" w:cs="Times New Roman"/>
                <w:szCs w:val="24"/>
              </w:rPr>
            </w:pPr>
            <w:r>
              <w:rPr>
                <w:rFonts w:ascii="Times New Roman" w:hAnsi="Times New Roman" w:cs="Times New Roman"/>
                <w:b/>
                <w:bCs/>
                <w:szCs w:val="24"/>
                <w:u w:val="single"/>
              </w:rPr>
              <w:t>Procedures Modified or Added</w:t>
            </w:r>
          </w:p>
        </w:tc>
        <w:tc>
          <w:tcPr>
            <w:tcW w:w="576" w:type="dxa"/>
            <w:tcBorders>
              <w:top w:val="single" w:sz="6" w:space="0" w:color="000000"/>
              <w:left w:val="single" w:sz="6" w:space="0" w:color="000000"/>
              <w:bottom w:val="single" w:sz="6" w:space="0" w:color="000000"/>
              <w:right w:val="single" w:sz="6" w:space="0" w:color="000000"/>
            </w:tcBorders>
          </w:tcPr>
          <w:p w14:paraId="325206CC" w14:textId="77777777" w:rsidR="00CE5525" w:rsidRDefault="00CE5525">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0FDB9F59" w14:textId="77777777" w:rsidR="00CE5525" w:rsidRDefault="00CE5525">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777CC7A2" w14:textId="77777777" w:rsidR="00CE5525" w:rsidRDefault="00CE5525">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09039BCC" w14:textId="77777777" w:rsidR="00CE5525" w:rsidRDefault="00CE5525">
            <w:pPr>
              <w:jc w:val="center"/>
              <w:rPr>
                <w:rFonts w:ascii="Times New Roman" w:hAnsi="Times New Roman" w:cs="Times New Roman"/>
                <w:szCs w:val="24"/>
              </w:rPr>
            </w:pPr>
          </w:p>
        </w:tc>
      </w:tr>
      <w:tr w:rsidR="00CE5525" w14:paraId="6BE4DEA4" w14:textId="77777777" w:rsidTr="00A11C0F">
        <w:trPr>
          <w:cantSplit/>
        </w:trPr>
        <w:tc>
          <w:tcPr>
            <w:tcW w:w="3602" w:type="dxa"/>
            <w:gridSpan w:val="2"/>
            <w:tcBorders>
              <w:top w:val="single" w:sz="6" w:space="0" w:color="000000"/>
              <w:bottom w:val="single" w:sz="6" w:space="0" w:color="000000"/>
              <w:right w:val="single" w:sz="6" w:space="0" w:color="000000"/>
            </w:tcBorders>
          </w:tcPr>
          <w:p w14:paraId="20ACA1D3" w14:textId="77777777" w:rsidR="00CE5525" w:rsidRDefault="00CE5525">
            <w:pPr>
              <w:rPr>
                <w:rFonts w:ascii="Times New Roman" w:hAnsi="Times New Roman" w:cs="Times New Roman"/>
                <w:szCs w:val="24"/>
              </w:rPr>
            </w:pPr>
          </w:p>
          <w:p w14:paraId="4AAD3586" w14:textId="77777777" w:rsidR="00A2630D" w:rsidRPr="009F4118" w:rsidRDefault="00A2630D">
            <w:pPr>
              <w:rPr>
                <w:rFonts w:ascii="Times New Roman" w:hAnsi="Times New Roman" w:cs="Times New Roman"/>
                <w:sz w:val="18"/>
                <w:szCs w:val="24"/>
              </w:rPr>
            </w:pPr>
          </w:p>
        </w:tc>
        <w:tc>
          <w:tcPr>
            <w:tcW w:w="576" w:type="dxa"/>
            <w:tcBorders>
              <w:top w:val="single" w:sz="6" w:space="0" w:color="000000"/>
              <w:left w:val="single" w:sz="6" w:space="0" w:color="000000"/>
              <w:bottom w:val="single" w:sz="6" w:space="0" w:color="000000"/>
              <w:right w:val="single" w:sz="6" w:space="0" w:color="000000"/>
            </w:tcBorders>
          </w:tcPr>
          <w:p w14:paraId="71EB2A1F" w14:textId="77777777" w:rsidR="00CE5525" w:rsidRDefault="00CE5525">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65BBDC4C" w14:textId="77777777" w:rsidR="00CE5525" w:rsidRDefault="00CE5525">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72FF4552" w14:textId="77777777" w:rsidR="00CE5525" w:rsidRDefault="00CE5525">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46134257" w14:textId="77777777" w:rsidR="00CE5525" w:rsidRDefault="00CE5525">
            <w:pPr>
              <w:jc w:val="center"/>
              <w:rPr>
                <w:rFonts w:ascii="Times New Roman" w:hAnsi="Times New Roman" w:cs="Times New Roman"/>
                <w:szCs w:val="24"/>
              </w:rPr>
            </w:pPr>
          </w:p>
        </w:tc>
      </w:tr>
      <w:tr w:rsidR="00D34980" w14:paraId="4BE0F996" w14:textId="77777777" w:rsidTr="00A11C0F">
        <w:trPr>
          <w:cantSplit/>
        </w:trPr>
        <w:tc>
          <w:tcPr>
            <w:tcW w:w="3602" w:type="dxa"/>
            <w:gridSpan w:val="2"/>
            <w:tcBorders>
              <w:top w:val="single" w:sz="6" w:space="0" w:color="000000"/>
              <w:bottom w:val="single" w:sz="6" w:space="0" w:color="000000"/>
              <w:right w:val="single" w:sz="6" w:space="0" w:color="000000"/>
            </w:tcBorders>
          </w:tcPr>
          <w:p w14:paraId="19C8DEB8" w14:textId="77777777" w:rsidR="00D34980" w:rsidRDefault="00D34980">
            <w:pPr>
              <w:rPr>
                <w:rFonts w:ascii="Times New Roman" w:hAnsi="Times New Roman" w:cs="Times New Roman"/>
                <w:szCs w:val="24"/>
              </w:rPr>
            </w:pPr>
          </w:p>
          <w:p w14:paraId="463E2E04" w14:textId="77777777" w:rsidR="00A2630D" w:rsidRPr="009F4118" w:rsidRDefault="00A2630D">
            <w:pPr>
              <w:rPr>
                <w:rFonts w:ascii="Times New Roman" w:hAnsi="Times New Roman" w:cs="Times New Roman"/>
                <w:sz w:val="18"/>
                <w:szCs w:val="24"/>
              </w:rPr>
            </w:pPr>
          </w:p>
        </w:tc>
        <w:tc>
          <w:tcPr>
            <w:tcW w:w="576" w:type="dxa"/>
            <w:tcBorders>
              <w:top w:val="single" w:sz="6" w:space="0" w:color="000000"/>
              <w:left w:val="single" w:sz="6" w:space="0" w:color="000000"/>
              <w:bottom w:val="single" w:sz="6" w:space="0" w:color="000000"/>
              <w:right w:val="single" w:sz="6" w:space="0" w:color="000000"/>
            </w:tcBorders>
          </w:tcPr>
          <w:p w14:paraId="5A7833C8" w14:textId="77777777" w:rsidR="00D34980" w:rsidRDefault="00D34980">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506761D0" w14:textId="77777777" w:rsidR="00D34980" w:rsidRDefault="00D34980">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29204075" w14:textId="77777777" w:rsidR="00D34980" w:rsidRDefault="00D34980">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55557E74" w14:textId="77777777" w:rsidR="00D34980" w:rsidRDefault="00D34980">
            <w:pPr>
              <w:jc w:val="center"/>
              <w:rPr>
                <w:rFonts w:ascii="Times New Roman" w:hAnsi="Times New Roman" w:cs="Times New Roman"/>
                <w:szCs w:val="24"/>
              </w:rPr>
            </w:pPr>
          </w:p>
        </w:tc>
      </w:tr>
      <w:tr w:rsidR="00D34980" w14:paraId="18BB189C" w14:textId="77777777" w:rsidTr="00A11C0F">
        <w:trPr>
          <w:cantSplit/>
        </w:trPr>
        <w:tc>
          <w:tcPr>
            <w:tcW w:w="3602" w:type="dxa"/>
            <w:gridSpan w:val="2"/>
            <w:tcBorders>
              <w:top w:val="single" w:sz="6" w:space="0" w:color="000000"/>
              <w:bottom w:val="single" w:sz="6" w:space="0" w:color="000000"/>
              <w:right w:val="single" w:sz="6" w:space="0" w:color="000000"/>
            </w:tcBorders>
          </w:tcPr>
          <w:p w14:paraId="4A14E743" w14:textId="77777777" w:rsidR="00D34980" w:rsidRDefault="00D34980">
            <w:pPr>
              <w:rPr>
                <w:rFonts w:ascii="Times New Roman" w:hAnsi="Times New Roman" w:cs="Times New Roman"/>
                <w:szCs w:val="24"/>
              </w:rPr>
            </w:pPr>
          </w:p>
          <w:p w14:paraId="10D3DA58" w14:textId="77777777" w:rsidR="00A2630D" w:rsidRPr="009F4118" w:rsidRDefault="00A2630D">
            <w:pPr>
              <w:rPr>
                <w:rFonts w:ascii="Times New Roman" w:hAnsi="Times New Roman" w:cs="Times New Roman"/>
                <w:sz w:val="18"/>
                <w:szCs w:val="24"/>
              </w:rPr>
            </w:pPr>
          </w:p>
        </w:tc>
        <w:tc>
          <w:tcPr>
            <w:tcW w:w="576" w:type="dxa"/>
            <w:tcBorders>
              <w:top w:val="single" w:sz="6" w:space="0" w:color="000000"/>
              <w:left w:val="single" w:sz="6" w:space="0" w:color="000000"/>
              <w:bottom w:val="single" w:sz="6" w:space="0" w:color="000000"/>
              <w:right w:val="single" w:sz="6" w:space="0" w:color="000000"/>
            </w:tcBorders>
          </w:tcPr>
          <w:p w14:paraId="2A6C1632" w14:textId="77777777" w:rsidR="00D34980" w:rsidRDefault="00D34980">
            <w:pPr>
              <w:rPr>
                <w:rFonts w:ascii="Times New Roman" w:hAnsi="Times New Roman" w:cs="Times New Roman"/>
                <w:szCs w:val="24"/>
              </w:rPr>
            </w:pPr>
          </w:p>
        </w:tc>
        <w:tc>
          <w:tcPr>
            <w:tcW w:w="576" w:type="dxa"/>
            <w:tcBorders>
              <w:top w:val="single" w:sz="6" w:space="0" w:color="000000"/>
              <w:left w:val="single" w:sz="6" w:space="0" w:color="000000"/>
              <w:bottom w:val="single" w:sz="6" w:space="0" w:color="000000"/>
              <w:right w:val="single" w:sz="6" w:space="0" w:color="000000"/>
            </w:tcBorders>
          </w:tcPr>
          <w:p w14:paraId="0F9C46CC" w14:textId="77777777" w:rsidR="00D34980" w:rsidRDefault="00D34980">
            <w:pPr>
              <w:jc w:val="center"/>
              <w:rPr>
                <w:rFonts w:ascii="Times New Roman" w:hAnsi="Times New Roman" w:cs="Times New Roman"/>
                <w:szCs w:val="24"/>
              </w:rPr>
            </w:pPr>
          </w:p>
        </w:tc>
        <w:tc>
          <w:tcPr>
            <w:tcW w:w="658" w:type="dxa"/>
            <w:tcBorders>
              <w:top w:val="single" w:sz="6" w:space="0" w:color="000000"/>
              <w:left w:val="single" w:sz="6" w:space="0" w:color="000000"/>
              <w:bottom w:val="single" w:sz="6" w:space="0" w:color="000000"/>
              <w:right w:val="single" w:sz="6" w:space="0" w:color="000000"/>
            </w:tcBorders>
          </w:tcPr>
          <w:p w14:paraId="7954B049" w14:textId="77777777" w:rsidR="00D34980" w:rsidRDefault="00D34980">
            <w:pPr>
              <w:jc w:val="center"/>
              <w:rPr>
                <w:rFonts w:ascii="Times New Roman" w:hAnsi="Times New Roman" w:cs="Times New Roman"/>
                <w:szCs w:val="24"/>
              </w:rPr>
            </w:pPr>
          </w:p>
        </w:tc>
        <w:tc>
          <w:tcPr>
            <w:tcW w:w="5310" w:type="dxa"/>
            <w:tcBorders>
              <w:top w:val="single" w:sz="6" w:space="0" w:color="000000"/>
              <w:left w:val="single" w:sz="6" w:space="0" w:color="000000"/>
              <w:bottom w:val="single" w:sz="6" w:space="0" w:color="000000"/>
              <w:right w:val="single" w:sz="6" w:space="0" w:color="000000"/>
            </w:tcBorders>
          </w:tcPr>
          <w:p w14:paraId="40FBD8DB" w14:textId="77777777" w:rsidR="00D34980" w:rsidRDefault="00D34980">
            <w:pPr>
              <w:jc w:val="center"/>
              <w:rPr>
                <w:rFonts w:ascii="Times New Roman" w:hAnsi="Times New Roman" w:cs="Times New Roman"/>
                <w:szCs w:val="24"/>
              </w:rPr>
            </w:pPr>
          </w:p>
        </w:tc>
      </w:tr>
    </w:tbl>
    <w:p w14:paraId="496415B4" w14:textId="77777777" w:rsidR="00292C22" w:rsidRPr="000F0551" w:rsidRDefault="00292C22" w:rsidP="00DF35E4">
      <w:pPr>
        <w:tabs>
          <w:tab w:val="left" w:pos="2350"/>
        </w:tabs>
        <w:rPr>
          <w:rFonts w:ascii="Times New Roman" w:hAnsi="Times New Roman" w:cs="Times New Roman"/>
          <w:b/>
          <w:bCs/>
          <w:sz w:val="8"/>
        </w:rPr>
      </w:pPr>
    </w:p>
    <w:sectPr w:rsidR="00292C22" w:rsidRPr="000F0551" w:rsidSect="00DF35E4">
      <w:headerReference w:type="default" r:id="rId8"/>
      <w:footerReference w:type="default" r:id="rId9"/>
      <w:pgSz w:w="12240" w:h="15840" w:code="1"/>
      <w:pgMar w:top="855"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7ECA" w14:textId="77777777" w:rsidR="000A5437" w:rsidRDefault="000A5437">
      <w:r>
        <w:separator/>
      </w:r>
    </w:p>
  </w:endnote>
  <w:endnote w:type="continuationSeparator" w:id="0">
    <w:p w14:paraId="1169CA89" w14:textId="77777777" w:rsidR="000A5437" w:rsidRDefault="000A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88"/>
      <w:gridCol w:w="5310"/>
    </w:tblGrid>
    <w:tr w:rsidR="00DF35E4" w14:paraId="1533C801" w14:textId="77777777" w:rsidTr="00F86379">
      <w:tc>
        <w:tcPr>
          <w:tcW w:w="288" w:type="dxa"/>
        </w:tcPr>
        <w:p w14:paraId="155203BD" w14:textId="77777777" w:rsidR="00DF35E4" w:rsidRDefault="00DF35E4" w:rsidP="00DF35E4">
          <w:pPr>
            <w:pStyle w:val="Footer"/>
            <w:ind w:right="360"/>
            <w:rPr>
              <w:rFonts w:ascii="Times New Roman" w:hAnsi="Times New Roman" w:cs="Times New Roman"/>
              <w:b/>
              <w:bCs/>
              <w:sz w:val="24"/>
              <w:szCs w:val="24"/>
            </w:rPr>
          </w:pPr>
        </w:p>
      </w:tc>
      <w:tc>
        <w:tcPr>
          <w:tcW w:w="5310" w:type="dxa"/>
        </w:tcPr>
        <w:p w14:paraId="066614AC" w14:textId="77777777" w:rsidR="00DF35E4" w:rsidRDefault="00DF35E4" w:rsidP="00DF35E4">
          <w:pPr>
            <w:pStyle w:val="Footer"/>
            <w:ind w:right="360"/>
            <w:rPr>
              <w:rFonts w:ascii="Times New Roman" w:hAnsi="Times New Roman" w:cs="Times New Roman"/>
            </w:rPr>
          </w:pPr>
          <w:r>
            <w:rPr>
              <w:rFonts w:ascii="Times New Roman" w:hAnsi="Times New Roman" w:cs="Times New Roman"/>
            </w:rPr>
            <w:t>Verified per representation</w:t>
          </w:r>
        </w:p>
      </w:tc>
    </w:tr>
    <w:tr w:rsidR="00DF35E4" w14:paraId="004C1CA8" w14:textId="77777777" w:rsidTr="00F86379">
      <w:tc>
        <w:tcPr>
          <w:tcW w:w="288" w:type="dxa"/>
        </w:tcPr>
        <w:p w14:paraId="7E8C86B5" w14:textId="77777777" w:rsidR="00DF35E4" w:rsidRDefault="00DF35E4" w:rsidP="00DF35E4">
          <w:pPr>
            <w:pStyle w:val="Footer"/>
            <w:ind w:right="360"/>
            <w:rPr>
              <w:rFonts w:ascii="Times New Roman" w:hAnsi="Times New Roman" w:cs="Times New Roman"/>
              <w:b/>
              <w:bCs/>
              <w:sz w:val="24"/>
              <w:szCs w:val="24"/>
            </w:rPr>
          </w:pPr>
        </w:p>
      </w:tc>
      <w:tc>
        <w:tcPr>
          <w:tcW w:w="5310" w:type="dxa"/>
        </w:tcPr>
        <w:p w14:paraId="7018BE5E" w14:textId="77777777" w:rsidR="00DF35E4" w:rsidRDefault="00DF35E4" w:rsidP="00DF35E4">
          <w:pPr>
            <w:pStyle w:val="Footer"/>
            <w:ind w:right="360"/>
            <w:rPr>
              <w:rFonts w:ascii="Times New Roman" w:hAnsi="Times New Roman" w:cs="Times New Roman"/>
            </w:rPr>
          </w:pPr>
          <w:r>
            <w:rPr>
              <w:rFonts w:ascii="Times New Roman" w:hAnsi="Times New Roman" w:cs="Times New Roman"/>
            </w:rPr>
            <w:t>Verified per observation/examination</w:t>
          </w:r>
        </w:p>
      </w:tc>
    </w:tr>
  </w:tbl>
  <w:p w14:paraId="02F3F9EE" w14:textId="77777777" w:rsidR="00DF35E4" w:rsidRDefault="00DF35E4" w:rsidP="00DF35E4">
    <w:pPr>
      <w:pStyle w:val="Footer"/>
      <w:tabs>
        <w:tab w:val="clear" w:pos="4320"/>
        <w:tab w:val="clear" w:pos="8640"/>
        <w:tab w:val="left" w:pos="7515"/>
      </w:tabs>
      <w:ind w:right="360"/>
      <w:rPr>
        <w:rFonts w:ascii="Times New Roman" w:hAnsi="Times New Roman" w:cs="Times New Roman"/>
      </w:rPr>
    </w:pPr>
    <w:r>
      <w:rPr>
        <w:rFonts w:ascii="Times New Roman" w:hAnsi="Times New Roman" w:cs="Times New Roman"/>
      </w:rPr>
      <w:tab/>
    </w:r>
  </w:p>
  <w:p w14:paraId="64C7C8F9" w14:textId="77777777" w:rsidR="00DF35E4" w:rsidRPr="00E15A60" w:rsidRDefault="00DF35E4" w:rsidP="00DF35E4">
    <w:pPr>
      <w:pStyle w:val="Footer"/>
      <w:rPr>
        <w:rFonts w:ascii="Times New Roman" w:hAnsi="Times New Roman"/>
        <w:b/>
        <w:u w:val="single"/>
      </w:rPr>
    </w:pPr>
    <w:r w:rsidRPr="00E15A60">
      <w:rPr>
        <w:rFonts w:ascii="Times New Roman" w:hAnsi="Times New Roman"/>
      </w:rPr>
      <w:t xml:space="preserve">VERSION </w:t>
    </w:r>
    <w:r>
      <w:rPr>
        <w:rFonts w:ascii="Times New Roman" w:hAnsi="Times New Roman"/>
      </w:rPr>
      <w:t>9</w:t>
    </w:r>
  </w:p>
  <w:p w14:paraId="5F75D26F" w14:textId="77777777" w:rsidR="00DF35E4" w:rsidRDefault="00DF35E4" w:rsidP="00DF35E4">
    <w:pPr>
      <w:pStyle w:val="Footer"/>
    </w:pPr>
    <w:r w:rsidRPr="00E15A60">
      <w:rPr>
        <w:rFonts w:ascii="Times New Roman" w:hAnsi="Times New Roman"/>
      </w:rPr>
      <w:t xml:space="preserve">EFFECTIVE:  </w:t>
    </w:r>
    <w:r>
      <w:rPr>
        <w:rFonts w:ascii="Times New Roman" w:hAnsi="Times New Roman"/>
      </w:rPr>
      <w:t>April 1, 2023</w:t>
    </w:r>
    <w:r>
      <w:tab/>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p w14:paraId="25C4CEA0" w14:textId="77777777" w:rsidR="00F05EE0" w:rsidRDefault="00F05EE0">
    <w:pPr>
      <w:pStyle w:val="Footer"/>
      <w:ind w:right="360"/>
      <w:rPr>
        <w:rFonts w:ascii="Times New Roman" w:hAnsi="Times New Roman" w:cs="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52BB" w14:textId="77777777" w:rsidR="000A5437" w:rsidRDefault="000A5437">
      <w:r>
        <w:separator/>
      </w:r>
    </w:p>
  </w:footnote>
  <w:footnote w:type="continuationSeparator" w:id="0">
    <w:p w14:paraId="4349DE5A" w14:textId="77777777" w:rsidR="000A5437" w:rsidRDefault="000A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0D76" w14:textId="77777777" w:rsidR="00DF35E4" w:rsidRDefault="00DF35E4" w:rsidP="00DF35E4">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9670198" wp14:editId="4FB4CE8D">
              <wp:simplePos x="0" y="0"/>
              <wp:positionH relativeFrom="column">
                <wp:posOffset>5423535</wp:posOffset>
              </wp:positionH>
              <wp:positionV relativeFrom="paragraph">
                <wp:posOffset>43815</wp:posOffset>
              </wp:positionV>
              <wp:extent cx="12954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2859EBC9" w14:textId="77777777" w:rsidR="00DF35E4" w:rsidRDefault="00DF35E4" w:rsidP="00DF35E4">
                          <w:pPr>
                            <w:jc w:val="center"/>
                            <w:rPr>
                              <w:rFonts w:ascii="Times New Roman" w:hAnsi="Times New Roman" w:cs="Times New Roman"/>
                              <w:sz w:val="16"/>
                              <w:szCs w:val="16"/>
                            </w:rPr>
                          </w:pPr>
                          <w:r>
                            <w:rPr>
                              <w:rFonts w:ascii="Times New Roman" w:hAnsi="Times New Roman" w:cs="Times New Roman"/>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70198" id="_x0000_t202" coordsize="21600,21600" o:spt="202" path="m,l,21600r21600,l21600,xe">
              <v:stroke joinstyle="miter"/>
              <v:path gradientshapeok="t" o:connecttype="rect"/>
            </v:shapetype>
            <v:shape id="Text Box 1"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eKKAIAAFAEAAAOAAAAZHJzL2Uyb0RvYy54bWysVM1u2zAMvg/YOwi6L3aMpGuMOEWXLsOA&#10;rhvQ7gFkWbaFSaImKbGzpx8lp1n2dxnmg0CK1EfyI+n1zagVOQjnJZiKzmc5JcJwaKTpKvr5affq&#10;mhIfmGmYAiMqehSe3mxevlgPthQF9KAa4QiCGF8OtqJ9CLbMMs97oZmfgRUGjS04zQKqrssaxwZE&#10;1yor8vwqG8A11gEX3uPt3WSkm4TftoKHj23rRSCqophbSKdLZx3PbLNmZeeY7SU/pcH+IQvNpMGg&#10;Z6g7FhjZO/kblJbcgYc2zDjoDNpWcpFqwGrm+S/VPPbMilQLkuPtmSb//2D5w+GTI7Kp6IISwzS2&#10;6EmMgbyBkcwjO4P1JTo9WnQLI15jl1Ol3t4D/+KJgW3PTCdunYOhF6zB7NLL7OLphOMjSD18gAbD&#10;sH2ABDS2TkfqkAyC6Nil47kzMRUeQxar5SJHE0dbUVxfoYzJZax8fm2dD+8EaBKFijrsfEJnh3sf&#10;JtdnlxjMg5LNTiqVFNfVW+XIgeGU7NJ3Qv/JTRkyVHS1LJYTAX+FyNP3JwgtA467krqi12cnVkba&#10;3pomDWNgUk0yVqcMFhl5jNRNJIaxHk99qaE5IqMOprHGNUShB/eNkgFHuqL+6545QYl6b7Arq/li&#10;EXcgKYvl6wIVd2mpLy3McISqaKBkErdh2pu9dbLrMdI0BwZusZOtTCTHVKesTnnj2KY2nVYs7sWl&#10;nrx+/Ag23wEAAP//AwBQSwMEFAAGAAgAAAAhAJXL5JPfAAAACQEAAA8AAABkcnMvZG93bnJldi54&#10;bWxMj8FOwzAMhu9IvENkJC5oSze60pamE0ICsRtsCK5Z47UViVOSrCtvT3aCo/3/+vy5Wk9GsxGd&#10;7y0JWMwTYEiNVT21At53T7McmA+SlNSWUMAPeljXlxeVLJU90RuO29CyCCFfSgFdCEPJuW86NNLP&#10;7YAUs4N1RoY4upYrJ08RbjRfJknGjewpXujkgI8dNl/boxGQpy/jp9/cvn402UEX4eZufP52Qlxf&#10;TQ/3wAJO4a8MZ/2oDnV02tsjKc90ZKzSRawKyApg5zxZ5XGxF5AuC+B1xf9/UP8CAAD//wMAUEsB&#10;Ai0AFAAGAAgAAAAhALaDOJL+AAAA4QEAABMAAAAAAAAAAAAAAAAAAAAAAFtDb250ZW50X1R5cGVz&#10;XS54bWxQSwECLQAUAAYACAAAACEAOP0h/9YAAACUAQAACwAAAAAAAAAAAAAAAAAvAQAAX3JlbHMv&#10;LnJlbHNQSwECLQAUAAYACAAAACEABUZniigCAABQBAAADgAAAAAAAAAAAAAAAAAuAgAAZHJzL2Uy&#10;b0RvYy54bWxQSwECLQAUAAYACAAAACEAlcvkk98AAAAJAQAADwAAAAAAAAAAAAAAAACCBAAAZHJz&#10;L2Rvd25yZXYueG1sUEsFBgAAAAAEAAQA8wAAAI4FAAAAAA==&#10;">
              <v:textbox>
                <w:txbxContent>
                  <w:p w14:paraId="2859EBC9" w14:textId="77777777" w:rsidR="00DF35E4" w:rsidRDefault="00DF35E4" w:rsidP="00DF35E4">
                    <w:pPr>
                      <w:jc w:val="center"/>
                      <w:rPr>
                        <w:rFonts w:ascii="Times New Roman" w:hAnsi="Times New Roman" w:cs="Times New Roman"/>
                        <w:sz w:val="16"/>
                        <w:szCs w:val="16"/>
                      </w:rPr>
                    </w:pPr>
                    <w:r>
                      <w:rPr>
                        <w:rFonts w:ascii="Times New Roman" w:hAnsi="Times New Roman" w:cs="Times New Roman"/>
                        <w:sz w:val="16"/>
                        <w:szCs w:val="16"/>
                      </w:rPr>
                      <w:t>Auditor’s Name and Date</w:t>
                    </w:r>
                  </w:p>
                </w:txbxContent>
              </v:textbox>
            </v:shape>
          </w:pict>
        </mc:Fallback>
      </mc:AlternateContent>
    </w:r>
    <w:r>
      <w:rPr>
        <w:rFonts w:ascii="Times New Roman" w:hAnsi="Times New Roman" w:cs="Times New Roman"/>
      </w:rPr>
      <w:t>Nevada Gaming Control Board</w:t>
    </w:r>
  </w:p>
  <w:p w14:paraId="77DF3F28" w14:textId="77777777" w:rsidR="00DF35E4" w:rsidRDefault="00DF35E4" w:rsidP="00DF35E4">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64E91D" wp14:editId="484FDAF8">
              <wp:simplePos x="0" y="0"/>
              <wp:positionH relativeFrom="column">
                <wp:posOffset>5423535</wp:posOffset>
              </wp:positionH>
              <wp:positionV relativeFrom="paragraph">
                <wp:posOffset>123190</wp:posOffset>
              </wp:positionV>
              <wp:extent cx="12954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1CB7402F" w14:textId="77777777" w:rsidR="00DF35E4" w:rsidRDefault="00DF35E4" w:rsidP="00DF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E91D" id="Text Box 2"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SN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pMUxj&#10;ix7EEMhbGEgR2emtL9Hp3qJbGPAau5wq9fYO+DdPDGw6ZnbixjnoO8EazG4aX2YXT0ccH0Hq/iM0&#10;GIbtAySgoXU6UodkEETHLh3PnYmp8BiyWM5nOZo42opicYVyDMHKp9fW+fBegCZRqKjDzid0drjz&#10;YXR9conBPCjZbKVSSXG7eqMcOTCckm36Tug/uSlD+oou58V8JOCvEHn6/gShZcBxV1JXdHF2YmWk&#10;7Z1pME1WBibVKGN1ypx4jNSNJIahHlLDEsmR4xqaIxLrYJxu3EYUOnA/KOlxsivqv++ZE5SoDwab&#10;s5zOZnEVkjKbvylQcZeW+tLCDEeoigZKRnETxvXZWyd3HUYax8HADTa0lYnr56xO6eP0pm6dNi2u&#10;x6WevJ7/B+tHAA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AeKtSNKgIAAFcEAAAOAAAAAAAAAAAAAAAAAC4CAABkcnMv&#10;ZTJvRG9jLnhtbFBLAQItABQABgAIAAAAIQB1E4LW3wAAAAoBAAAPAAAAAAAAAAAAAAAAAIQEAABk&#10;cnMvZG93bnJldi54bWxQSwUGAAAAAAQABADzAAAAkAUAAAAA&#10;">
              <v:textbox>
                <w:txbxContent>
                  <w:p w14:paraId="1CB7402F" w14:textId="77777777" w:rsidR="00DF35E4" w:rsidRDefault="00DF35E4" w:rsidP="00DF35E4"/>
                </w:txbxContent>
              </v:textbox>
            </v:shape>
          </w:pict>
        </mc:Fallback>
      </mc:AlternateContent>
    </w:r>
  </w:p>
  <w:p w14:paraId="4A86D2D3" w14:textId="77777777" w:rsidR="00DF35E4" w:rsidRDefault="00DF35E4" w:rsidP="00DF35E4">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3152B4B5" w14:textId="77777777" w:rsidR="00DF35E4" w:rsidRDefault="00DF35E4" w:rsidP="00DF35E4">
    <w:pPr>
      <w:pStyle w:val="Header"/>
      <w:jc w:val="center"/>
      <w:rPr>
        <w:rFonts w:ascii="Times New Roman" w:hAnsi="Times New Roman" w:cs="Times New Roman"/>
      </w:rPr>
    </w:pPr>
  </w:p>
  <w:p w14:paraId="4CEB453E" w14:textId="77777777" w:rsidR="00DF35E4" w:rsidRDefault="00DF35E4" w:rsidP="00DF35E4">
    <w:pPr>
      <w:pStyle w:val="Header"/>
      <w:jc w:val="center"/>
      <w:rPr>
        <w:rFonts w:ascii="Times New Roman" w:hAnsi="Times New Roman" w:cs="Times New Roman"/>
        <w:b/>
        <w:bCs/>
      </w:rPr>
    </w:pPr>
    <w:r>
      <w:rPr>
        <w:rFonts w:ascii="Times New Roman" w:hAnsi="Times New Roman" w:cs="Times New Roman"/>
        <w:b/>
        <w:bCs/>
      </w:rPr>
      <w:t xml:space="preserve">ENTERTAINMENT </w:t>
    </w:r>
  </w:p>
  <w:p w14:paraId="78CC2BEB" w14:textId="77777777" w:rsidR="00DF35E4" w:rsidRDefault="00DF35E4" w:rsidP="00DF35E4">
    <w:pPr>
      <w:pStyle w:val="Header"/>
      <w:jc w:val="center"/>
      <w:rPr>
        <w:rFonts w:ascii="Times New Roman" w:hAnsi="Times New Roman" w:cs="Times New Roman"/>
        <w:b/>
        <w:bCs/>
      </w:rPr>
    </w:pPr>
    <w:r>
      <w:rPr>
        <w:rFonts w:ascii="Times New Roman" w:hAnsi="Times New Roman" w:cs="Times New Roman"/>
        <w:b/>
        <w:bCs/>
      </w:rPr>
      <w:t>WALKTHROUGH PROCEDURES</w:t>
    </w:r>
  </w:p>
  <w:p w14:paraId="4BBDD2C0" w14:textId="77777777" w:rsidR="00DF35E4" w:rsidRDefault="00DF35E4" w:rsidP="00DF35E4">
    <w:pPr>
      <w:jc w:val="center"/>
      <w:rPr>
        <w:rFonts w:ascii="Times New Roman" w:hAnsi="Times New Roman" w:cs="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DF35E4" w14:paraId="243D1ABD" w14:textId="77777777" w:rsidTr="00F86379">
      <w:tc>
        <w:tcPr>
          <w:tcW w:w="1008" w:type="dxa"/>
          <w:tcBorders>
            <w:top w:val="nil"/>
            <w:left w:val="nil"/>
            <w:bottom w:val="nil"/>
            <w:right w:val="nil"/>
          </w:tcBorders>
        </w:tcPr>
        <w:p w14:paraId="4C4AFDAB" w14:textId="77777777" w:rsidR="00DF35E4" w:rsidRDefault="00DF35E4" w:rsidP="00DF35E4">
          <w:pPr>
            <w:rPr>
              <w:rFonts w:ascii="Times New Roman" w:hAnsi="Times New Roman" w:cs="Times New Roman"/>
            </w:rPr>
          </w:pPr>
          <w:r>
            <w:rPr>
              <w:rFonts w:ascii="Times New Roman" w:hAnsi="Times New Roman" w:cs="Times New Roman"/>
            </w:rPr>
            <w:t>Licensee:</w:t>
          </w:r>
        </w:p>
      </w:tc>
      <w:tc>
        <w:tcPr>
          <w:tcW w:w="3690" w:type="dxa"/>
          <w:tcBorders>
            <w:top w:val="nil"/>
            <w:left w:val="nil"/>
            <w:bottom w:val="single" w:sz="4" w:space="0" w:color="auto"/>
            <w:right w:val="nil"/>
          </w:tcBorders>
        </w:tcPr>
        <w:p w14:paraId="73F274DD" w14:textId="77777777" w:rsidR="00DF35E4" w:rsidRDefault="00DF35E4" w:rsidP="00DF35E4">
          <w:pPr>
            <w:jc w:val="center"/>
            <w:rPr>
              <w:rFonts w:ascii="Times New Roman" w:hAnsi="Times New Roman" w:cs="Times New Roman"/>
            </w:rPr>
          </w:pPr>
        </w:p>
      </w:tc>
      <w:tc>
        <w:tcPr>
          <w:tcW w:w="1530" w:type="dxa"/>
          <w:tcBorders>
            <w:top w:val="nil"/>
            <w:left w:val="nil"/>
            <w:bottom w:val="nil"/>
            <w:right w:val="nil"/>
          </w:tcBorders>
        </w:tcPr>
        <w:p w14:paraId="377A4A22" w14:textId="77777777" w:rsidR="00DF35E4" w:rsidRDefault="00DF35E4" w:rsidP="00DF35E4">
          <w:pPr>
            <w:rPr>
              <w:rFonts w:ascii="Times New Roman" w:hAnsi="Times New Roman" w:cs="Times New Roman"/>
            </w:rPr>
          </w:pPr>
          <w:r>
            <w:rPr>
              <w:rFonts w:ascii="Times New Roman" w:hAnsi="Times New Roman" w:cs="Times New Roman"/>
            </w:rPr>
            <w:t>Review Period:</w:t>
          </w:r>
        </w:p>
      </w:tc>
      <w:tc>
        <w:tcPr>
          <w:tcW w:w="4788" w:type="dxa"/>
          <w:tcBorders>
            <w:top w:val="nil"/>
            <w:left w:val="nil"/>
            <w:bottom w:val="single" w:sz="4" w:space="0" w:color="auto"/>
            <w:right w:val="nil"/>
          </w:tcBorders>
        </w:tcPr>
        <w:p w14:paraId="697AB9F7" w14:textId="77777777" w:rsidR="00DF35E4" w:rsidRDefault="00DF35E4" w:rsidP="00DF35E4">
          <w:pPr>
            <w:jc w:val="center"/>
            <w:rPr>
              <w:rFonts w:ascii="Times New Roman" w:hAnsi="Times New Roman" w:cs="Times New Roman"/>
            </w:rPr>
          </w:pPr>
        </w:p>
      </w:tc>
    </w:tr>
  </w:tbl>
  <w:p w14:paraId="57378E9D" w14:textId="77777777" w:rsidR="00DF35E4" w:rsidRDefault="00DF35E4" w:rsidP="00DF35E4">
    <w:pPr>
      <w:pStyle w:val="Header"/>
      <w:rPr>
        <w:rFonts w:ascii="Times New Roman" w:hAnsi="Times New Roman" w:cs="Times New Roman"/>
        <w:sz w:val="22"/>
      </w:rPr>
    </w:pPr>
  </w:p>
  <w:p w14:paraId="5028CC51" w14:textId="77777777" w:rsidR="00DF35E4" w:rsidRDefault="00DF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15:restartNumberingAfterBreak="0">
    <w:nsid w:val="0FBF4B33"/>
    <w:multiLevelType w:val="multilevel"/>
    <w:tmpl w:val="CD9A36E8"/>
    <w:lvl w:ilvl="0">
      <w:start w:val="1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 w15:restartNumberingAfterBreak="0">
    <w:nsid w:val="139E4DE6"/>
    <w:multiLevelType w:val="multilevel"/>
    <w:tmpl w:val="F0D8321A"/>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AAE4E04"/>
    <w:multiLevelType w:val="multilevel"/>
    <w:tmpl w:val="CFC42462"/>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20B454C7"/>
    <w:multiLevelType w:val="multilevel"/>
    <w:tmpl w:val="37063C7E"/>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79F404F"/>
    <w:multiLevelType w:val="multilevel"/>
    <w:tmpl w:val="188867C2"/>
    <w:lvl w:ilvl="0">
      <w:start w:val="2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6" w15:restartNumberingAfterBreak="0">
    <w:nsid w:val="2F384159"/>
    <w:multiLevelType w:val="multilevel"/>
    <w:tmpl w:val="B420B4F6"/>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33AE4B74"/>
    <w:multiLevelType w:val="multilevel"/>
    <w:tmpl w:val="90D4AD8A"/>
    <w:lvl w:ilvl="0">
      <w:start w:val="11"/>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8" w15:restartNumberingAfterBreak="0">
    <w:nsid w:val="3DEC4500"/>
    <w:multiLevelType w:val="multilevel"/>
    <w:tmpl w:val="52C4AEC6"/>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43B6635E"/>
    <w:multiLevelType w:val="multilevel"/>
    <w:tmpl w:val="635401F0"/>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4C324C92"/>
    <w:multiLevelType w:val="multilevel"/>
    <w:tmpl w:val="A5AEB38E"/>
    <w:lvl w:ilvl="0">
      <w:start w:val="1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4C35451A"/>
    <w:multiLevelType w:val="multilevel"/>
    <w:tmpl w:val="5CDCCE7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4C9A628C"/>
    <w:multiLevelType w:val="multilevel"/>
    <w:tmpl w:val="D62CCFB8"/>
    <w:lvl w:ilvl="0">
      <w:start w:val="2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3" w15:restartNumberingAfterBreak="0">
    <w:nsid w:val="4D1E414A"/>
    <w:multiLevelType w:val="multilevel"/>
    <w:tmpl w:val="6FB83E26"/>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4E350930"/>
    <w:multiLevelType w:val="multilevel"/>
    <w:tmpl w:val="5852B81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4F011E49"/>
    <w:multiLevelType w:val="hybridMultilevel"/>
    <w:tmpl w:val="28C44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330CA"/>
    <w:multiLevelType w:val="multilevel"/>
    <w:tmpl w:val="9DCE4E32"/>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5A790CC7"/>
    <w:multiLevelType w:val="multilevel"/>
    <w:tmpl w:val="73FC1F12"/>
    <w:lvl w:ilvl="0">
      <w:start w:val="7"/>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8" w15:restartNumberingAfterBreak="0">
    <w:nsid w:val="5BDB264E"/>
    <w:multiLevelType w:val="multilevel"/>
    <w:tmpl w:val="F692D910"/>
    <w:lvl w:ilvl="0">
      <w:start w:val="3"/>
      <w:numFmt w:val="lowerLetter"/>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9" w15:restartNumberingAfterBreak="0">
    <w:nsid w:val="5DA41B7C"/>
    <w:multiLevelType w:val="multilevel"/>
    <w:tmpl w:val="E7DC9CD8"/>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44571D9"/>
    <w:multiLevelType w:val="multilevel"/>
    <w:tmpl w:val="4BA09044"/>
    <w:lvl w:ilvl="0">
      <w:start w:val="5"/>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2"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72346B8"/>
    <w:multiLevelType w:val="multilevel"/>
    <w:tmpl w:val="C82CD4F2"/>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0"/>
  </w:num>
  <w:num w:numId="2">
    <w:abstractNumId w:val="22"/>
  </w:num>
  <w:num w:numId="3">
    <w:abstractNumId w:val="14"/>
  </w:num>
  <w:num w:numId="4">
    <w:abstractNumId w:val="20"/>
  </w:num>
  <w:num w:numId="5">
    <w:abstractNumId w:val="15"/>
  </w:num>
  <w:num w:numId="6">
    <w:abstractNumId w:val="18"/>
  </w:num>
  <w:num w:numId="7">
    <w:abstractNumId w:val="21"/>
  </w:num>
  <w:num w:numId="8">
    <w:abstractNumId w:val="23"/>
  </w:num>
  <w:num w:numId="9">
    <w:abstractNumId w:val="9"/>
  </w:num>
  <w:num w:numId="10">
    <w:abstractNumId w:val="19"/>
  </w:num>
  <w:num w:numId="11">
    <w:abstractNumId w:val="10"/>
  </w:num>
  <w:num w:numId="12">
    <w:abstractNumId w:val="11"/>
  </w:num>
  <w:num w:numId="13">
    <w:abstractNumId w:val="6"/>
  </w:num>
  <w:num w:numId="14">
    <w:abstractNumId w:val="16"/>
  </w:num>
  <w:num w:numId="15">
    <w:abstractNumId w:val="3"/>
  </w:num>
  <w:num w:numId="16">
    <w:abstractNumId w:val="2"/>
  </w:num>
  <w:num w:numId="17">
    <w:abstractNumId w:val="4"/>
  </w:num>
  <w:num w:numId="18">
    <w:abstractNumId w:val="13"/>
  </w:num>
  <w:num w:numId="19">
    <w:abstractNumId w:val="12"/>
  </w:num>
  <w:num w:numId="20">
    <w:abstractNumId w:val="7"/>
  </w:num>
  <w:num w:numId="21">
    <w:abstractNumId w:val="17"/>
  </w:num>
  <w:num w:numId="22">
    <w:abstractNumId w:val="5"/>
  </w:num>
  <w:num w:numId="23">
    <w:abstractNumId w:val="8"/>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51"/>
    <w:rsid w:val="000078DD"/>
    <w:rsid w:val="00020C1E"/>
    <w:rsid w:val="00021119"/>
    <w:rsid w:val="00032A33"/>
    <w:rsid w:val="000434F8"/>
    <w:rsid w:val="00046F1E"/>
    <w:rsid w:val="00054F5D"/>
    <w:rsid w:val="00071009"/>
    <w:rsid w:val="00073796"/>
    <w:rsid w:val="00073F28"/>
    <w:rsid w:val="0007589D"/>
    <w:rsid w:val="000776FD"/>
    <w:rsid w:val="0008072D"/>
    <w:rsid w:val="000840A4"/>
    <w:rsid w:val="00085A2D"/>
    <w:rsid w:val="000969F3"/>
    <w:rsid w:val="000A5437"/>
    <w:rsid w:val="000A5A3B"/>
    <w:rsid w:val="000B16E7"/>
    <w:rsid w:val="000B4A51"/>
    <w:rsid w:val="000B551D"/>
    <w:rsid w:val="000C4CBE"/>
    <w:rsid w:val="000C74F1"/>
    <w:rsid w:val="000D45BF"/>
    <w:rsid w:val="000D494C"/>
    <w:rsid w:val="000F0551"/>
    <w:rsid w:val="000F2097"/>
    <w:rsid w:val="000F4CB3"/>
    <w:rsid w:val="00104782"/>
    <w:rsid w:val="00104BB5"/>
    <w:rsid w:val="001124A2"/>
    <w:rsid w:val="001154D1"/>
    <w:rsid w:val="00130E45"/>
    <w:rsid w:val="00131786"/>
    <w:rsid w:val="00136180"/>
    <w:rsid w:val="00145FB9"/>
    <w:rsid w:val="00150A5B"/>
    <w:rsid w:val="00160BE0"/>
    <w:rsid w:val="00161285"/>
    <w:rsid w:val="001729B2"/>
    <w:rsid w:val="00175F7C"/>
    <w:rsid w:val="00182000"/>
    <w:rsid w:val="00185503"/>
    <w:rsid w:val="001875CA"/>
    <w:rsid w:val="001937EB"/>
    <w:rsid w:val="001A2851"/>
    <w:rsid w:val="001B4002"/>
    <w:rsid w:val="001B6020"/>
    <w:rsid w:val="001C7AAE"/>
    <w:rsid w:val="001D0C8D"/>
    <w:rsid w:val="001D2F87"/>
    <w:rsid w:val="001F3D41"/>
    <w:rsid w:val="001F5096"/>
    <w:rsid w:val="001F6DDE"/>
    <w:rsid w:val="00215B31"/>
    <w:rsid w:val="00223FC5"/>
    <w:rsid w:val="0022657A"/>
    <w:rsid w:val="00226591"/>
    <w:rsid w:val="00226FCE"/>
    <w:rsid w:val="002364B3"/>
    <w:rsid w:val="0024072B"/>
    <w:rsid w:val="002415C3"/>
    <w:rsid w:val="00242132"/>
    <w:rsid w:val="00245B75"/>
    <w:rsid w:val="00250CFF"/>
    <w:rsid w:val="00251E85"/>
    <w:rsid w:val="00260BC2"/>
    <w:rsid w:val="0027120F"/>
    <w:rsid w:val="0027551E"/>
    <w:rsid w:val="002768CC"/>
    <w:rsid w:val="00277DE9"/>
    <w:rsid w:val="00292C22"/>
    <w:rsid w:val="00297BD8"/>
    <w:rsid w:val="002A601E"/>
    <w:rsid w:val="002A6791"/>
    <w:rsid w:val="002B1038"/>
    <w:rsid w:val="002B3845"/>
    <w:rsid w:val="002C30AC"/>
    <w:rsid w:val="002C53F8"/>
    <w:rsid w:val="002D0E6E"/>
    <w:rsid w:val="002E1AE3"/>
    <w:rsid w:val="002E1B74"/>
    <w:rsid w:val="002E1CE1"/>
    <w:rsid w:val="002E7B5B"/>
    <w:rsid w:val="002F646F"/>
    <w:rsid w:val="00304618"/>
    <w:rsid w:val="00306E4D"/>
    <w:rsid w:val="00311444"/>
    <w:rsid w:val="00314887"/>
    <w:rsid w:val="00314FF8"/>
    <w:rsid w:val="00322F5D"/>
    <w:rsid w:val="003238E4"/>
    <w:rsid w:val="00333B77"/>
    <w:rsid w:val="00335262"/>
    <w:rsid w:val="0034685B"/>
    <w:rsid w:val="003468C5"/>
    <w:rsid w:val="00346D96"/>
    <w:rsid w:val="00351010"/>
    <w:rsid w:val="00351224"/>
    <w:rsid w:val="00352707"/>
    <w:rsid w:val="00353485"/>
    <w:rsid w:val="00360927"/>
    <w:rsid w:val="00362158"/>
    <w:rsid w:val="003679D3"/>
    <w:rsid w:val="0037136A"/>
    <w:rsid w:val="003725EB"/>
    <w:rsid w:val="00374F93"/>
    <w:rsid w:val="00381F77"/>
    <w:rsid w:val="0038257F"/>
    <w:rsid w:val="00394410"/>
    <w:rsid w:val="003A50BA"/>
    <w:rsid w:val="003B1D0C"/>
    <w:rsid w:val="003B7A7E"/>
    <w:rsid w:val="003C53A3"/>
    <w:rsid w:val="003D45AF"/>
    <w:rsid w:val="003E38AD"/>
    <w:rsid w:val="003F0EE4"/>
    <w:rsid w:val="003F23A5"/>
    <w:rsid w:val="003F2EFE"/>
    <w:rsid w:val="0040124A"/>
    <w:rsid w:val="00401A06"/>
    <w:rsid w:val="00421A1F"/>
    <w:rsid w:val="00427EEF"/>
    <w:rsid w:val="00431401"/>
    <w:rsid w:val="004316F6"/>
    <w:rsid w:val="004325A1"/>
    <w:rsid w:val="00433A12"/>
    <w:rsid w:val="00434DD8"/>
    <w:rsid w:val="004418B1"/>
    <w:rsid w:val="00454D74"/>
    <w:rsid w:val="00465384"/>
    <w:rsid w:val="00465E54"/>
    <w:rsid w:val="00475402"/>
    <w:rsid w:val="00475C95"/>
    <w:rsid w:val="00482B94"/>
    <w:rsid w:val="00493715"/>
    <w:rsid w:val="004A1442"/>
    <w:rsid w:val="004B4740"/>
    <w:rsid w:val="004B55C7"/>
    <w:rsid w:val="004B7182"/>
    <w:rsid w:val="004C1E84"/>
    <w:rsid w:val="004C28AA"/>
    <w:rsid w:val="004E2642"/>
    <w:rsid w:val="004E5BED"/>
    <w:rsid w:val="004E63FC"/>
    <w:rsid w:val="004E7589"/>
    <w:rsid w:val="004F3F3D"/>
    <w:rsid w:val="004F6B01"/>
    <w:rsid w:val="004F6E40"/>
    <w:rsid w:val="0050482A"/>
    <w:rsid w:val="0050610C"/>
    <w:rsid w:val="00507865"/>
    <w:rsid w:val="00510F52"/>
    <w:rsid w:val="00514017"/>
    <w:rsid w:val="005168D5"/>
    <w:rsid w:val="00521446"/>
    <w:rsid w:val="0052191D"/>
    <w:rsid w:val="00533B0A"/>
    <w:rsid w:val="005432C3"/>
    <w:rsid w:val="00544097"/>
    <w:rsid w:val="00546AC1"/>
    <w:rsid w:val="005545C9"/>
    <w:rsid w:val="00555EF2"/>
    <w:rsid w:val="00557A87"/>
    <w:rsid w:val="00571059"/>
    <w:rsid w:val="00571A4F"/>
    <w:rsid w:val="00576401"/>
    <w:rsid w:val="005931F2"/>
    <w:rsid w:val="005A47C4"/>
    <w:rsid w:val="005A4A97"/>
    <w:rsid w:val="005B6AC0"/>
    <w:rsid w:val="005C3C0A"/>
    <w:rsid w:val="005C6CF9"/>
    <w:rsid w:val="005D7EBD"/>
    <w:rsid w:val="005E1428"/>
    <w:rsid w:val="0060598B"/>
    <w:rsid w:val="00606691"/>
    <w:rsid w:val="00611835"/>
    <w:rsid w:val="00613007"/>
    <w:rsid w:val="00622D31"/>
    <w:rsid w:val="0062459C"/>
    <w:rsid w:val="006329AC"/>
    <w:rsid w:val="00633CAD"/>
    <w:rsid w:val="006402AD"/>
    <w:rsid w:val="00645BD3"/>
    <w:rsid w:val="00654B04"/>
    <w:rsid w:val="0065519E"/>
    <w:rsid w:val="00660EDF"/>
    <w:rsid w:val="0066589F"/>
    <w:rsid w:val="00680A5C"/>
    <w:rsid w:val="006A1C82"/>
    <w:rsid w:val="006D0A6F"/>
    <w:rsid w:val="006D1339"/>
    <w:rsid w:val="006E526F"/>
    <w:rsid w:val="006E673F"/>
    <w:rsid w:val="006E7CDE"/>
    <w:rsid w:val="006F2AF8"/>
    <w:rsid w:val="006F4FEB"/>
    <w:rsid w:val="00714D6C"/>
    <w:rsid w:val="00721A58"/>
    <w:rsid w:val="00725EEF"/>
    <w:rsid w:val="00731C7C"/>
    <w:rsid w:val="00735784"/>
    <w:rsid w:val="00742123"/>
    <w:rsid w:val="00742B92"/>
    <w:rsid w:val="007456AA"/>
    <w:rsid w:val="00745DA2"/>
    <w:rsid w:val="00762332"/>
    <w:rsid w:val="00767E3D"/>
    <w:rsid w:val="007711D8"/>
    <w:rsid w:val="00771373"/>
    <w:rsid w:val="0077352C"/>
    <w:rsid w:val="007809A9"/>
    <w:rsid w:val="0078174D"/>
    <w:rsid w:val="00782B76"/>
    <w:rsid w:val="007830EF"/>
    <w:rsid w:val="007860EF"/>
    <w:rsid w:val="007912EB"/>
    <w:rsid w:val="007945B2"/>
    <w:rsid w:val="00797458"/>
    <w:rsid w:val="007A218C"/>
    <w:rsid w:val="007B742F"/>
    <w:rsid w:val="007C1089"/>
    <w:rsid w:val="007C330E"/>
    <w:rsid w:val="007C7E87"/>
    <w:rsid w:val="007D7BC1"/>
    <w:rsid w:val="007D7D20"/>
    <w:rsid w:val="007E2A66"/>
    <w:rsid w:val="007E4A3C"/>
    <w:rsid w:val="007F578F"/>
    <w:rsid w:val="007F5AF7"/>
    <w:rsid w:val="007F62D5"/>
    <w:rsid w:val="007F7B89"/>
    <w:rsid w:val="00820677"/>
    <w:rsid w:val="00835A63"/>
    <w:rsid w:val="008375C8"/>
    <w:rsid w:val="00840FE3"/>
    <w:rsid w:val="00844104"/>
    <w:rsid w:val="00846377"/>
    <w:rsid w:val="00847437"/>
    <w:rsid w:val="008477AB"/>
    <w:rsid w:val="00851C4C"/>
    <w:rsid w:val="008528A5"/>
    <w:rsid w:val="00855647"/>
    <w:rsid w:val="00860877"/>
    <w:rsid w:val="00862B57"/>
    <w:rsid w:val="008815BF"/>
    <w:rsid w:val="008829C7"/>
    <w:rsid w:val="0088461B"/>
    <w:rsid w:val="00890D79"/>
    <w:rsid w:val="0089160D"/>
    <w:rsid w:val="008923DD"/>
    <w:rsid w:val="008928DF"/>
    <w:rsid w:val="008A5564"/>
    <w:rsid w:val="008B6A8C"/>
    <w:rsid w:val="008D0000"/>
    <w:rsid w:val="008E3C02"/>
    <w:rsid w:val="008E6D49"/>
    <w:rsid w:val="0090139C"/>
    <w:rsid w:val="00907E4D"/>
    <w:rsid w:val="00912F1D"/>
    <w:rsid w:val="00917053"/>
    <w:rsid w:val="009263DD"/>
    <w:rsid w:val="00931E87"/>
    <w:rsid w:val="009339AA"/>
    <w:rsid w:val="009418E4"/>
    <w:rsid w:val="00941DDB"/>
    <w:rsid w:val="00942F6F"/>
    <w:rsid w:val="0094395D"/>
    <w:rsid w:val="00950835"/>
    <w:rsid w:val="009604AD"/>
    <w:rsid w:val="0096076F"/>
    <w:rsid w:val="00985C7F"/>
    <w:rsid w:val="00991B40"/>
    <w:rsid w:val="009945D3"/>
    <w:rsid w:val="00995994"/>
    <w:rsid w:val="009B1CCB"/>
    <w:rsid w:val="009C0A96"/>
    <w:rsid w:val="009C3A35"/>
    <w:rsid w:val="009D46D8"/>
    <w:rsid w:val="009D703B"/>
    <w:rsid w:val="009E355C"/>
    <w:rsid w:val="009E3804"/>
    <w:rsid w:val="009E4E70"/>
    <w:rsid w:val="009E5EAD"/>
    <w:rsid w:val="009F1F4A"/>
    <w:rsid w:val="009F4118"/>
    <w:rsid w:val="009F5365"/>
    <w:rsid w:val="00A00084"/>
    <w:rsid w:val="00A0515D"/>
    <w:rsid w:val="00A0729E"/>
    <w:rsid w:val="00A10B98"/>
    <w:rsid w:val="00A11C0F"/>
    <w:rsid w:val="00A167C9"/>
    <w:rsid w:val="00A2630D"/>
    <w:rsid w:val="00A34665"/>
    <w:rsid w:val="00A35D14"/>
    <w:rsid w:val="00A3760F"/>
    <w:rsid w:val="00A50785"/>
    <w:rsid w:val="00A54AF1"/>
    <w:rsid w:val="00A80CCA"/>
    <w:rsid w:val="00A81573"/>
    <w:rsid w:val="00A81ECA"/>
    <w:rsid w:val="00A82A52"/>
    <w:rsid w:val="00A959A7"/>
    <w:rsid w:val="00A96785"/>
    <w:rsid w:val="00AA7CF5"/>
    <w:rsid w:val="00AB43B0"/>
    <w:rsid w:val="00AB7063"/>
    <w:rsid w:val="00AC192A"/>
    <w:rsid w:val="00AC1EC1"/>
    <w:rsid w:val="00AC6A73"/>
    <w:rsid w:val="00AD4717"/>
    <w:rsid w:val="00AD743B"/>
    <w:rsid w:val="00AE1DCB"/>
    <w:rsid w:val="00AE5CC4"/>
    <w:rsid w:val="00AF2591"/>
    <w:rsid w:val="00B13047"/>
    <w:rsid w:val="00B346E7"/>
    <w:rsid w:val="00B369DA"/>
    <w:rsid w:val="00B36A25"/>
    <w:rsid w:val="00B463FA"/>
    <w:rsid w:val="00B47049"/>
    <w:rsid w:val="00B724BF"/>
    <w:rsid w:val="00B725B2"/>
    <w:rsid w:val="00B7399E"/>
    <w:rsid w:val="00B766C1"/>
    <w:rsid w:val="00B85C5A"/>
    <w:rsid w:val="00B87AB4"/>
    <w:rsid w:val="00B947F6"/>
    <w:rsid w:val="00B97399"/>
    <w:rsid w:val="00BA6E40"/>
    <w:rsid w:val="00BB0005"/>
    <w:rsid w:val="00BB198C"/>
    <w:rsid w:val="00BB46DB"/>
    <w:rsid w:val="00BC33CF"/>
    <w:rsid w:val="00BC355A"/>
    <w:rsid w:val="00BE12A0"/>
    <w:rsid w:val="00BF071D"/>
    <w:rsid w:val="00BF1554"/>
    <w:rsid w:val="00BF2F49"/>
    <w:rsid w:val="00C11D8E"/>
    <w:rsid w:val="00C166BC"/>
    <w:rsid w:val="00C22816"/>
    <w:rsid w:val="00C263C7"/>
    <w:rsid w:val="00C33E78"/>
    <w:rsid w:val="00C669D1"/>
    <w:rsid w:val="00C7277E"/>
    <w:rsid w:val="00C76E59"/>
    <w:rsid w:val="00C76E94"/>
    <w:rsid w:val="00C86613"/>
    <w:rsid w:val="00C906E8"/>
    <w:rsid w:val="00C97629"/>
    <w:rsid w:val="00C97B4E"/>
    <w:rsid w:val="00CA3A0A"/>
    <w:rsid w:val="00CA6293"/>
    <w:rsid w:val="00CA6C2E"/>
    <w:rsid w:val="00CB0384"/>
    <w:rsid w:val="00CC49E3"/>
    <w:rsid w:val="00CC5A1E"/>
    <w:rsid w:val="00CD6AE2"/>
    <w:rsid w:val="00CD70FD"/>
    <w:rsid w:val="00CE3F60"/>
    <w:rsid w:val="00CE5525"/>
    <w:rsid w:val="00CE72BB"/>
    <w:rsid w:val="00D01C06"/>
    <w:rsid w:val="00D01E5B"/>
    <w:rsid w:val="00D02B98"/>
    <w:rsid w:val="00D03591"/>
    <w:rsid w:val="00D059E0"/>
    <w:rsid w:val="00D232D5"/>
    <w:rsid w:val="00D34980"/>
    <w:rsid w:val="00D35E4D"/>
    <w:rsid w:val="00D443B9"/>
    <w:rsid w:val="00D5194D"/>
    <w:rsid w:val="00D557EA"/>
    <w:rsid w:val="00D63E99"/>
    <w:rsid w:val="00D64CEE"/>
    <w:rsid w:val="00D676E3"/>
    <w:rsid w:val="00D67DD4"/>
    <w:rsid w:val="00D777AA"/>
    <w:rsid w:val="00D810EE"/>
    <w:rsid w:val="00D9232A"/>
    <w:rsid w:val="00D94E3E"/>
    <w:rsid w:val="00DA4443"/>
    <w:rsid w:val="00DA5778"/>
    <w:rsid w:val="00DB15E8"/>
    <w:rsid w:val="00DB1BA8"/>
    <w:rsid w:val="00DB72AF"/>
    <w:rsid w:val="00DD6E89"/>
    <w:rsid w:val="00DE3F42"/>
    <w:rsid w:val="00DF35E4"/>
    <w:rsid w:val="00DF4EC2"/>
    <w:rsid w:val="00E02DD5"/>
    <w:rsid w:val="00E0795A"/>
    <w:rsid w:val="00E1026B"/>
    <w:rsid w:val="00E11963"/>
    <w:rsid w:val="00E1293E"/>
    <w:rsid w:val="00E15A60"/>
    <w:rsid w:val="00E23C81"/>
    <w:rsid w:val="00E25F23"/>
    <w:rsid w:val="00E27374"/>
    <w:rsid w:val="00E303A0"/>
    <w:rsid w:val="00E350E4"/>
    <w:rsid w:val="00E36B52"/>
    <w:rsid w:val="00E370A9"/>
    <w:rsid w:val="00E421D8"/>
    <w:rsid w:val="00E42FC5"/>
    <w:rsid w:val="00E5010B"/>
    <w:rsid w:val="00E50A78"/>
    <w:rsid w:val="00E62E61"/>
    <w:rsid w:val="00E72633"/>
    <w:rsid w:val="00E72BB6"/>
    <w:rsid w:val="00E818DA"/>
    <w:rsid w:val="00E87FAA"/>
    <w:rsid w:val="00E911BA"/>
    <w:rsid w:val="00E91271"/>
    <w:rsid w:val="00E95DEF"/>
    <w:rsid w:val="00EA4772"/>
    <w:rsid w:val="00EA4DD8"/>
    <w:rsid w:val="00EA6CF6"/>
    <w:rsid w:val="00EB1D68"/>
    <w:rsid w:val="00EB1F1A"/>
    <w:rsid w:val="00EB1F3C"/>
    <w:rsid w:val="00EC4E8E"/>
    <w:rsid w:val="00EC7182"/>
    <w:rsid w:val="00ED3A07"/>
    <w:rsid w:val="00ED5535"/>
    <w:rsid w:val="00ED7BAD"/>
    <w:rsid w:val="00EE3CF0"/>
    <w:rsid w:val="00EF204F"/>
    <w:rsid w:val="00F0217C"/>
    <w:rsid w:val="00F05EE0"/>
    <w:rsid w:val="00F12B8E"/>
    <w:rsid w:val="00F1763C"/>
    <w:rsid w:val="00F17CA0"/>
    <w:rsid w:val="00F20395"/>
    <w:rsid w:val="00F2054B"/>
    <w:rsid w:val="00F23D92"/>
    <w:rsid w:val="00F255C1"/>
    <w:rsid w:val="00F30867"/>
    <w:rsid w:val="00F31D74"/>
    <w:rsid w:val="00F40991"/>
    <w:rsid w:val="00F46F30"/>
    <w:rsid w:val="00F5147F"/>
    <w:rsid w:val="00F52911"/>
    <w:rsid w:val="00F639A9"/>
    <w:rsid w:val="00F77840"/>
    <w:rsid w:val="00F8464E"/>
    <w:rsid w:val="00F84E12"/>
    <w:rsid w:val="00F92B7F"/>
    <w:rsid w:val="00F9302F"/>
    <w:rsid w:val="00F94AD8"/>
    <w:rsid w:val="00F9641E"/>
    <w:rsid w:val="00F97A5B"/>
    <w:rsid w:val="00FA6A33"/>
    <w:rsid w:val="00FA6FBE"/>
    <w:rsid w:val="00FA78C8"/>
    <w:rsid w:val="00FB0498"/>
    <w:rsid w:val="00FC683E"/>
    <w:rsid w:val="00FD164F"/>
    <w:rsid w:val="00FD28BA"/>
    <w:rsid w:val="00FD4D39"/>
    <w:rsid w:val="00FE131B"/>
    <w:rsid w:val="00FE21F5"/>
    <w:rsid w:val="00FE3264"/>
    <w:rsid w:val="00FF1D8B"/>
    <w:rsid w:val="00FF458D"/>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BDE56B9"/>
  <w15:chartTrackingRefBased/>
  <w15:docId w15:val="{B1934C86-ABED-4C80-B1F9-8D38167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numPr>
        <w:numId w:val="1"/>
      </w:numPr>
      <w:spacing w:before="240" w:after="60"/>
      <w:outlineLvl w:val="0"/>
    </w:pPr>
    <w:rPr>
      <w:b/>
      <w:bCs/>
      <w:kern w:val="28"/>
      <w:sz w:val="28"/>
      <w:szCs w:val="28"/>
    </w:rPr>
  </w:style>
  <w:style w:type="paragraph" w:styleId="Heading2">
    <w:name w:val="heading 2"/>
    <w:basedOn w:val="Normal"/>
    <w:next w:val="Normal"/>
    <w:qFormat/>
    <w:pPr>
      <w:keepNext/>
      <w:numPr>
        <w:ilvl w:val="1"/>
        <w:numId w:val="1"/>
      </w:numPr>
      <w:spacing w:before="240" w:after="60"/>
      <w:outlineLvl w:val="1"/>
    </w:pPr>
    <w:rPr>
      <w:b/>
      <w:bCs/>
      <w:i/>
      <w:iCs/>
      <w:sz w:val="24"/>
      <w:szCs w:val="24"/>
    </w:rPr>
  </w:style>
  <w:style w:type="paragraph" w:styleId="Heading3">
    <w:name w:val="heading 3"/>
    <w:basedOn w:val="Normal"/>
    <w:next w:val="Normal"/>
    <w:qFormat/>
    <w:pPr>
      <w:keepNext/>
      <w:numPr>
        <w:ilvl w:val="2"/>
        <w:numId w:val="1"/>
      </w:numPr>
      <w:spacing w:before="240" w:after="60"/>
      <w:outlineLvl w:val="2"/>
    </w:pPr>
    <w:rPr>
      <w:sz w:val="24"/>
      <w:szCs w:val="24"/>
    </w:rPr>
  </w:style>
  <w:style w:type="paragraph" w:styleId="Heading4">
    <w:name w:val="heading 4"/>
    <w:basedOn w:val="Normal"/>
    <w:next w:val="Normal"/>
    <w:qFormat/>
    <w:pPr>
      <w:keepNext/>
      <w:numPr>
        <w:ilvl w:val="3"/>
        <w:numId w:val="1"/>
      </w:numPr>
      <w:spacing w:before="240" w:after="60"/>
      <w:outlineLvl w:val="3"/>
    </w:pPr>
    <w:rPr>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ascii="Times New Roman" w:hAnsi="Times New Roman" w:cs="Times New Roman"/>
    </w:rPr>
  </w:style>
  <w:style w:type="paragraph" w:styleId="List2">
    <w:name w:val="List 2"/>
    <w:basedOn w:val="Normal"/>
    <w:pPr>
      <w:ind w:left="720" w:hanging="360"/>
    </w:pPr>
    <w:rPr>
      <w:rFonts w:ascii="Times New Roman" w:hAnsi="Times New Roman" w:cs="Times New Roman"/>
    </w:rPr>
  </w:style>
  <w:style w:type="character" w:styleId="PageNumber">
    <w:name w:val="page number"/>
    <w:basedOn w:val="DefaultParagraphFont"/>
  </w:style>
  <w:style w:type="paragraph" w:customStyle="1" w:styleId="indent">
    <w:name w:val="indent"/>
    <w:basedOn w:val="Normal"/>
    <w:pPr>
      <w:ind w:left="216" w:right="216"/>
    </w:pPr>
    <w:rPr>
      <w:rFonts w:ascii="Times New Roman" w:hAnsi="Times New Roman" w:cs="Times New Roman"/>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ANDBOOK-NORMAL">
    <w:name w:val="HANDBOOK-NORMAL"/>
    <w:basedOn w:val="Normal"/>
    <w:pPr>
      <w:tabs>
        <w:tab w:val="left" w:pos="1440"/>
        <w:tab w:val="left" w:pos="2880"/>
        <w:tab w:val="left" w:pos="4320"/>
        <w:tab w:val="left" w:pos="5760"/>
        <w:tab w:val="left" w:pos="7200"/>
        <w:tab w:val="left" w:pos="8640"/>
      </w:tabs>
    </w:pPr>
    <w:rPr>
      <w:rFonts w:ascii="Times New Roman" w:hAnsi="Times New Roman" w:cs="Times New Roman"/>
    </w:rPr>
  </w:style>
  <w:style w:type="paragraph" w:styleId="List3">
    <w:name w:val="List 3"/>
    <w:basedOn w:val="Normal"/>
    <w:pPr>
      <w:ind w:left="1080" w:hanging="360"/>
    </w:pPr>
    <w:rPr>
      <w:rFonts w:ascii="Times New Roman" w:hAnsi="Times New Roman" w:cs="Times New Roman"/>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BodyText">
    <w:name w:val="Body Text"/>
    <w:basedOn w:val="Normal"/>
    <w:rPr>
      <w:rFonts w:ascii="Times New Roman" w:hAnsi="Times New Roman" w:cs="Times New Roman"/>
      <w:sz w:val="24"/>
      <w:szCs w:val="24"/>
    </w:rPr>
  </w:style>
  <w:style w:type="paragraph" w:styleId="BodyTextIndent">
    <w:name w:val="Body Text Indent"/>
    <w:basedOn w:val="Normal"/>
    <w:pPr>
      <w:autoSpaceDE/>
      <w:autoSpaceDN/>
    </w:pPr>
    <w:rPr>
      <w:rFonts w:ascii="Times New Roman" w:hAnsi="Times New Roman" w:cs="Times New Roman"/>
      <w:sz w:val="16"/>
      <w:szCs w:val="16"/>
    </w:rPr>
  </w:style>
  <w:style w:type="paragraph" w:styleId="BodyText2">
    <w:name w:val="Body Text 2"/>
    <w:basedOn w:val="Normal"/>
    <w:pPr>
      <w:tabs>
        <w:tab w:val="right" w:pos="9504"/>
      </w:tabs>
      <w:overflowPunct w:val="0"/>
      <w:adjustRightInd w:val="0"/>
      <w:spacing w:line="240" w:lineRule="atLeast"/>
      <w:ind w:left="360" w:hanging="360"/>
      <w:textAlignment w:val="baseline"/>
    </w:pPr>
    <w:rPr>
      <w:rFonts w:ascii="Times New Roman" w:hAnsi="Times New Roman" w:cs="Times New Roman"/>
      <w:noProof/>
      <w:sz w:val="22"/>
    </w:rPr>
  </w:style>
  <w:style w:type="paragraph" w:styleId="BodyTextIndent2">
    <w:name w:val="Body Text Indent 2"/>
    <w:basedOn w:val="Normal"/>
    <w:pPr>
      <w:tabs>
        <w:tab w:val="right" w:pos="9504"/>
      </w:tabs>
      <w:overflowPunct w:val="0"/>
      <w:adjustRightInd w:val="0"/>
      <w:spacing w:line="240" w:lineRule="atLeast"/>
      <w:ind w:left="1080" w:hanging="1080"/>
      <w:textAlignment w:val="baseline"/>
    </w:pPr>
    <w:rPr>
      <w:rFonts w:ascii="Times New Roman" w:hAnsi="Times New Roman" w:cs="Times New Roman"/>
      <w:noProof/>
      <w:sz w:val="22"/>
    </w:rPr>
  </w:style>
  <w:style w:type="paragraph" w:styleId="BodyTextIndent3">
    <w:name w:val="Body Text Indent 3"/>
    <w:basedOn w:val="Normal"/>
    <w:pPr>
      <w:tabs>
        <w:tab w:val="right" w:pos="9504"/>
      </w:tabs>
      <w:overflowPunct w:val="0"/>
      <w:adjustRightInd w:val="0"/>
      <w:spacing w:line="240" w:lineRule="atLeast"/>
      <w:ind w:left="1080" w:hanging="360"/>
      <w:textAlignment w:val="baseline"/>
    </w:pPr>
    <w:rPr>
      <w:rFonts w:ascii="Times New Roman" w:hAnsi="Times New Roman" w:cs="Times New Roman"/>
      <w:noProof/>
      <w:sz w:val="22"/>
    </w:rPr>
  </w:style>
  <w:style w:type="paragraph" w:styleId="BlockText">
    <w:name w:val="Block Text"/>
    <w:basedOn w:val="Normal"/>
    <w:pPr>
      <w:tabs>
        <w:tab w:val="left" w:pos="360"/>
      </w:tabs>
      <w:overflowPunct w:val="0"/>
      <w:adjustRightInd w:val="0"/>
      <w:spacing w:line="240" w:lineRule="atLeast"/>
      <w:ind w:left="360" w:right="-126" w:hanging="360"/>
      <w:textAlignment w:val="baseline"/>
    </w:pPr>
    <w:rPr>
      <w:rFonts w:ascii="Times New Roman" w:hAnsi="Times New Roman" w:cs="Times New Roman"/>
      <w:noProof/>
      <w:sz w:val="22"/>
    </w:rPr>
  </w:style>
  <w:style w:type="paragraph" w:styleId="BalloonText">
    <w:name w:val="Balloon Text"/>
    <w:basedOn w:val="Normal"/>
    <w:link w:val="BalloonTextChar"/>
    <w:uiPriority w:val="99"/>
    <w:semiHidden/>
    <w:unhideWhenUsed/>
    <w:rsid w:val="00CC49E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49E3"/>
    <w:rPr>
      <w:rFonts w:ascii="Tahoma" w:hAnsi="Tahoma" w:cs="Tahoma"/>
      <w:sz w:val="16"/>
      <w:szCs w:val="16"/>
    </w:rPr>
  </w:style>
  <w:style w:type="paragraph" w:styleId="NoSpacing">
    <w:name w:val="No Spacing"/>
    <w:uiPriority w:val="1"/>
    <w:qFormat/>
    <w:rsid w:val="00ED5535"/>
    <w:rPr>
      <w:rFonts w:ascii="Calibri" w:eastAsia="Calibri" w:hAnsi="Calibri"/>
      <w:sz w:val="22"/>
      <w:szCs w:val="22"/>
    </w:rPr>
  </w:style>
  <w:style w:type="character" w:customStyle="1" w:styleId="HeaderChar">
    <w:name w:val="Header Char"/>
    <w:link w:val="Header"/>
    <w:rsid w:val="006329AC"/>
    <w:rPr>
      <w:rFonts w:ascii="Arial" w:hAnsi="Arial" w:cs="Arial"/>
    </w:rPr>
  </w:style>
  <w:style w:type="paragraph" w:styleId="ListParagraph">
    <w:name w:val="List Paragraph"/>
    <w:basedOn w:val="Normal"/>
    <w:uiPriority w:val="34"/>
    <w:qFormat/>
    <w:rsid w:val="00AB7063"/>
    <w:pPr>
      <w:overflowPunct w:val="0"/>
      <w:adjustRightInd w:val="0"/>
      <w:ind w:left="720"/>
      <w:contextualSpacing/>
      <w:textAlignment w:val="baseline"/>
    </w:pPr>
    <w:rPr>
      <w:rFonts w:ascii="Times New Roman" w:hAnsi="Times New Roman" w:cs="Times New Roman"/>
    </w:rPr>
  </w:style>
  <w:style w:type="table" w:styleId="TableGrid">
    <w:name w:val="Table Grid"/>
    <w:basedOn w:val="TableNormal"/>
    <w:uiPriority w:val="59"/>
    <w:rsid w:val="00AB70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A218C"/>
    <w:rPr>
      <w:sz w:val="16"/>
      <w:szCs w:val="16"/>
    </w:rPr>
  </w:style>
  <w:style w:type="paragraph" w:styleId="CommentText">
    <w:name w:val="annotation text"/>
    <w:basedOn w:val="Normal"/>
    <w:link w:val="CommentTextChar"/>
    <w:uiPriority w:val="99"/>
    <w:unhideWhenUsed/>
    <w:rsid w:val="007A218C"/>
  </w:style>
  <w:style w:type="character" w:customStyle="1" w:styleId="CommentTextChar">
    <w:name w:val="Comment Text Char"/>
    <w:link w:val="CommentText"/>
    <w:uiPriority w:val="99"/>
    <w:rsid w:val="007A218C"/>
    <w:rPr>
      <w:rFonts w:ascii="Arial" w:hAnsi="Arial" w:cs="Arial"/>
    </w:rPr>
  </w:style>
  <w:style w:type="paragraph" w:styleId="CommentSubject">
    <w:name w:val="annotation subject"/>
    <w:basedOn w:val="CommentText"/>
    <w:next w:val="CommentText"/>
    <w:link w:val="CommentSubjectChar"/>
    <w:uiPriority w:val="99"/>
    <w:semiHidden/>
    <w:unhideWhenUsed/>
    <w:rsid w:val="000840A4"/>
    <w:rPr>
      <w:b/>
      <w:bCs/>
    </w:rPr>
  </w:style>
  <w:style w:type="character" w:customStyle="1" w:styleId="CommentSubjectChar">
    <w:name w:val="Comment Subject Char"/>
    <w:link w:val="CommentSubject"/>
    <w:uiPriority w:val="99"/>
    <w:semiHidden/>
    <w:rsid w:val="000840A4"/>
    <w:rPr>
      <w:rFonts w:ascii="Arial" w:hAnsi="Arial" w:cs="Arial"/>
      <w:b/>
      <w:bCs/>
    </w:rPr>
  </w:style>
  <w:style w:type="character" w:styleId="LineNumber">
    <w:name w:val="line number"/>
    <w:basedOn w:val="DefaultParagraphFont"/>
    <w:uiPriority w:val="99"/>
    <w:semiHidden/>
    <w:unhideWhenUsed/>
    <w:rsid w:val="002B3845"/>
  </w:style>
  <w:style w:type="paragraph" w:styleId="Revision">
    <w:name w:val="Revision"/>
    <w:hidden/>
    <w:uiPriority w:val="99"/>
    <w:semiHidden/>
    <w:rsid w:val="007456AA"/>
    <w:rPr>
      <w:rFonts w:ascii="Arial" w:hAnsi="Arial" w:cs="Arial"/>
    </w:rPr>
  </w:style>
  <w:style w:type="paragraph" w:customStyle="1" w:styleId="Default">
    <w:name w:val="Default"/>
    <w:rsid w:val="00F17C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3203-3D97-44F4-9ED8-B1902C39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5</cp:revision>
  <cp:lastPrinted>2023-06-02T21:08:00Z</cp:lastPrinted>
  <dcterms:created xsi:type="dcterms:W3CDTF">2023-05-25T20:32:00Z</dcterms:created>
  <dcterms:modified xsi:type="dcterms:W3CDTF">2023-06-02T21:08:00Z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76a59b5f9d5f38b760004f511b3eeb07b33ed667feb391db6831bb5176b5061b</vt:lpwstr>
  </property>
</Properties>
</file>